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1.5.0 -->
  <w:body>
    <w:p>
      <w:pPr>
        <w:spacing w:before="43"/>
        <w:ind w:left="142" w:firstLine="400" w:firstLineChars="200"/>
        <w:rPr>
          <w:sz w:val="20"/>
        </w:rPr>
      </w:pPr>
    </w:p>
    <w:p>
      <w:pPr>
        <w:pStyle w:val="BodyText"/>
        <w:rPr>
          <w:sz w:val="20"/>
        </w:rPr>
      </w:pPr>
    </w:p>
    <w:p>
      <w:pPr>
        <w:pStyle w:val="BodyText"/>
        <w:spacing w:before="6"/>
        <w:rPr>
          <w:sz w:val="25"/>
        </w:rPr>
      </w:pPr>
    </w:p>
    <w:p>
      <w:pPr>
        <w:spacing w:before="27"/>
        <w:ind w:left="1042" w:right="1167"/>
        <w:jc w:val="center"/>
        <w:rPr>
          <w:rFonts w:ascii="黑体" w:eastAsia="黑体" w:hint="eastAsia"/>
          <w:sz w:val="52"/>
        </w:rPr>
      </w:pPr>
      <w:r>
        <w:rPr>
          <w:rFonts w:ascii="黑体" w:eastAsia="黑体" w:hint="eastAsia"/>
          <w:sz w:val="52"/>
        </w:rPr>
        <w:t>普通高等学校本科专业设置申请表</w:t>
      </w:r>
    </w:p>
    <w:p>
      <w:pPr>
        <w:rPr>
          <w:sz w:val="36"/>
        </w:rPr>
      </w:pPr>
    </w:p>
    <w:p>
      <w:pPr>
        <w:rPr>
          <w:sz w:val="36"/>
        </w:rPr>
      </w:pPr>
    </w:p>
    <w:p>
      <w:pPr>
        <w:spacing w:before="5"/>
        <w:rPr>
          <w:sz w:val="25"/>
        </w:rPr>
      </w:pPr>
    </w:p>
    <w:p>
      <w:pPr>
        <w:pStyle w:val="BodyText"/>
        <w:spacing w:line="374" w:lineRule="auto"/>
        <w:ind w:left="1658"/>
        <w:rPr>
          <w:rFonts w:ascii="宋体" w:eastAsia="宋体" w:hint="eastAsia"/>
          <w:lang w:val="en-US" w:eastAsia="zh-CN"/>
        </w:rPr>
      </w:pPr>
      <w:r>
        <w:rPr>
          <w:rFonts w:ascii="宋体" w:eastAsia="宋体" w:hint="eastAsia"/>
        </w:rPr>
        <w:t>校长签字：</w:t>
      </w:r>
      <w:r>
        <w:rPr>
          <w:rFonts w:ascii="宋体" w:eastAsia="宋体" w:hint="eastAsia"/>
          <w:lang w:val="en-US" w:eastAsia="zh-CN"/>
        </w:rPr>
        <w:t>刘保相</w:t>
      </w:r>
    </w:p>
    <w:p>
      <w:pPr>
        <w:pStyle w:val="BodyText"/>
        <w:spacing w:line="374" w:lineRule="auto"/>
        <w:ind w:left="1656" w:right="1355"/>
        <w:rPr>
          <w:rFonts w:ascii="宋体" w:eastAsia="宋体" w:hint="eastAsia"/>
          <w:b/>
          <w:spacing w:val="-9"/>
        </w:rPr>
      </w:pPr>
      <w:r>
        <w:rPr>
          <w:rFonts w:ascii="宋体" w:eastAsia="宋体" w:hint="eastAsia"/>
        </w:rPr>
        <w:t>学校名称（盖章</w:t>
      </w:r>
      <w:r>
        <w:rPr>
          <w:rFonts w:ascii="宋体" w:eastAsia="宋体" w:hint="eastAsia"/>
          <w:spacing w:val="-189"/>
        </w:rPr>
        <w:t>）</w:t>
      </w:r>
      <w:r>
        <w:rPr>
          <w:rFonts w:ascii="宋体" w:eastAsia="宋体" w:hint="eastAsia"/>
          <w:spacing w:val="-9"/>
        </w:rPr>
        <w:t>：河北科技学院</w:t>
      </w:r>
    </w:p>
    <w:p>
      <w:pPr>
        <w:pStyle w:val="BodyText"/>
        <w:spacing w:line="374" w:lineRule="auto"/>
        <w:ind w:left="1656" w:right="1355"/>
        <w:rPr>
          <w:rFonts w:ascii="宋体" w:eastAsia="宋体" w:hint="eastAsia"/>
        </w:rPr>
      </w:pPr>
      <w:r>
        <w:rPr>
          <w:rFonts w:ascii="宋体" w:eastAsia="宋体" w:hint="eastAsia"/>
        </w:rPr>
        <w:t>学校主管部门：河北省教育厅</w:t>
      </w:r>
    </w:p>
    <w:p>
      <w:pPr>
        <w:pStyle w:val="BodyText"/>
        <w:spacing w:line="374" w:lineRule="auto"/>
        <w:ind w:left="1658"/>
        <w:rPr>
          <w:rFonts w:eastAsia="宋体" w:hint="eastAsia"/>
          <w:lang w:val="en-US" w:eastAsia="zh-CN"/>
        </w:rPr>
      </w:pPr>
      <w:r>
        <w:rPr>
          <w:rFonts w:ascii="宋体" w:eastAsia="宋体" w:hint="eastAsia"/>
        </w:rPr>
        <w:t>专业名称：</w:t>
      </w:r>
      <w:r>
        <w:rPr>
          <w:rFonts w:ascii="宋体" w:eastAsia="宋体" w:hint="eastAsia"/>
          <w:lang w:eastAsia="zh-CN"/>
        </w:rPr>
        <w:t>表演</w:t>
      </w:r>
    </w:p>
    <w:p>
      <w:pPr>
        <w:pStyle w:val="BodyText"/>
        <w:spacing w:line="374" w:lineRule="auto"/>
        <w:ind w:left="1658"/>
        <w:rPr>
          <w:rFonts w:ascii="宋体" w:eastAsia="宋体" w:hint="eastAsia"/>
          <w:lang w:val="en-US"/>
        </w:rPr>
      </w:pPr>
      <w:r>
        <w:rPr>
          <w:rFonts w:ascii="宋体" w:eastAsia="宋体" w:hint="eastAsia"/>
        </w:rPr>
        <w:t>专业代码：</w:t>
      </w:r>
      <w:r>
        <w:rPr>
          <w:rFonts w:ascii="宋体" w:eastAsia="宋体" w:hint="eastAsia"/>
          <w:lang w:val="en-US" w:eastAsia="zh-CN"/>
        </w:rPr>
        <w:t>130301</w:t>
      </w:r>
    </w:p>
    <w:p>
      <w:pPr>
        <w:pStyle w:val="BodyText"/>
        <w:spacing w:line="374" w:lineRule="auto"/>
        <w:ind w:left="1658"/>
        <w:rPr>
          <w:rFonts w:ascii="宋体" w:eastAsia="宋体" w:hint="eastAsia"/>
          <w:lang w:eastAsia="zh-CN"/>
        </w:rPr>
      </w:pPr>
      <w:r>
        <w:rPr>
          <w:rFonts w:ascii="宋体" w:eastAsia="宋体" w:hint="eastAsia"/>
        </w:rPr>
        <w:t>所属学科门类及专业类：</w:t>
      </w:r>
      <w:r>
        <w:rPr>
          <w:rFonts w:ascii="宋体" w:eastAsia="宋体" w:hint="eastAsia"/>
          <w:lang w:eastAsia="zh-CN"/>
        </w:rPr>
        <w:t>艺术学</w:t>
      </w:r>
    </w:p>
    <w:p>
      <w:pPr>
        <w:pStyle w:val="BodyText"/>
        <w:spacing w:line="374" w:lineRule="auto"/>
        <w:ind w:left="1658"/>
        <w:rPr>
          <w:rFonts w:ascii="宋体" w:eastAsia="宋体" w:hint="eastAsia"/>
          <w:lang w:val="en-US" w:eastAsia="zh-CN"/>
        </w:rPr>
      </w:pPr>
      <w:r>
        <w:rPr>
          <w:rFonts w:ascii="宋体" w:eastAsia="宋体" w:hint="eastAsia"/>
        </w:rPr>
        <w:t>学位授予门类：</w:t>
      </w:r>
      <w:r>
        <w:rPr>
          <w:rFonts w:ascii="宋体" w:eastAsia="宋体" w:hint="eastAsia"/>
          <w:lang w:eastAsia="zh-CN"/>
        </w:rPr>
        <w:t>艺术学学士</w:t>
      </w:r>
    </w:p>
    <w:p>
      <w:pPr>
        <w:pStyle w:val="BodyText"/>
        <w:spacing w:line="374" w:lineRule="auto"/>
        <w:ind w:left="1658" w:right="5210"/>
        <w:rPr>
          <w:rFonts w:ascii="宋体" w:eastAsia="宋体" w:hint="eastAsia"/>
          <w:lang w:val="en-US"/>
        </w:rPr>
      </w:pPr>
      <w:r>
        <w:rPr>
          <w:rFonts w:ascii="宋体" w:eastAsia="宋体" w:hint="eastAsia"/>
        </w:rPr>
        <w:t>修业年限：</w:t>
      </w:r>
      <w:r>
        <w:rPr>
          <w:rFonts w:ascii="宋体" w:eastAsia="宋体" w:hint="eastAsia"/>
          <w:lang w:eastAsia="zh-CN"/>
        </w:rPr>
        <w:t>四年</w:t>
      </w:r>
      <w:r>
        <w:rPr>
          <w:rFonts w:ascii="宋体" w:eastAsia="宋体" w:hint="eastAsia"/>
        </w:rPr>
        <w:t xml:space="preserve"> </w:t>
      </w:r>
    </w:p>
    <w:p>
      <w:pPr>
        <w:pStyle w:val="BodyText"/>
        <w:spacing w:line="374" w:lineRule="auto"/>
        <w:ind w:left="1656" w:right="1242"/>
        <w:rPr>
          <w:rFonts w:ascii="宋体" w:eastAsia="宋体" w:hint="default"/>
          <w:lang w:val="en-US" w:eastAsia="zh-CN"/>
        </w:rPr>
      </w:pPr>
      <w:r>
        <w:rPr>
          <w:rFonts w:ascii="宋体" w:eastAsia="宋体" w:hint="eastAsia"/>
          <w:lang w:val="en-US" w:eastAsia="zh-CN"/>
        </w:rPr>
        <w:t>申请</w:t>
      </w:r>
      <w:r>
        <w:rPr>
          <w:rFonts w:ascii="宋体" w:eastAsia="宋体" w:hint="eastAsia"/>
        </w:rPr>
        <w:t>时间：</w:t>
      </w:r>
      <w:r>
        <w:rPr>
          <w:rFonts w:ascii="宋体" w:eastAsia="宋体" w:hint="eastAsia"/>
          <w:lang w:val="en-US" w:eastAsia="zh-CN"/>
        </w:rPr>
        <w:t>2021年7月</w:t>
      </w:r>
    </w:p>
    <w:p>
      <w:pPr>
        <w:pStyle w:val="BodyText"/>
        <w:spacing w:line="374" w:lineRule="auto"/>
        <w:ind w:left="1658" w:right="4770"/>
        <w:rPr>
          <w:rFonts w:ascii="宋体" w:eastAsia="宋体" w:hint="eastAsia"/>
          <w:lang w:val="en-US" w:eastAsia="zh-CN"/>
        </w:rPr>
      </w:pPr>
      <w:r>
        <w:rPr>
          <w:rFonts w:ascii="宋体" w:eastAsia="宋体" w:hint="eastAsia"/>
        </w:rPr>
        <w:t>专业负责人：</w:t>
      </w:r>
      <w:r>
        <w:rPr>
          <w:rFonts w:ascii="宋体" w:eastAsia="宋体" w:hint="eastAsia"/>
          <w:lang w:eastAsia="zh-CN"/>
        </w:rPr>
        <w:t>李勇强</w:t>
      </w:r>
    </w:p>
    <w:p>
      <w:pPr>
        <w:pStyle w:val="BodyText"/>
        <w:spacing w:line="240" w:lineRule="auto"/>
        <w:ind w:right="0" w:firstLine="1800" w:firstLineChars="500"/>
        <w:rPr>
          <w:rFonts w:ascii="宋体" w:eastAsia="宋体" w:hint="default"/>
          <w:lang w:val="en-US" w:eastAsia="zh-CN"/>
        </w:rPr>
      </w:pPr>
      <w:r>
        <w:rPr>
          <w:rFonts w:ascii="宋体" w:eastAsia="宋体" w:hint="eastAsia"/>
        </w:rPr>
        <w:t>联系电话：13738942592</w:t>
      </w:r>
    </w:p>
    <w:p>
      <w:pPr>
        <w:rPr>
          <w:sz w:val="36"/>
        </w:rPr>
      </w:pPr>
    </w:p>
    <w:p>
      <w:pPr>
        <w:spacing w:before="3"/>
        <w:rPr>
          <w:sz w:val="34"/>
        </w:rPr>
      </w:pPr>
    </w:p>
    <w:p>
      <w:pPr>
        <w:pStyle w:val="BodyText"/>
        <w:ind w:left="912" w:right="1167"/>
        <w:jc w:val="center"/>
        <w:rPr>
          <w:rFonts w:ascii="宋体" w:eastAsia="宋体" w:hint="eastAsia"/>
        </w:rPr>
      </w:pPr>
      <w:r>
        <w:rPr>
          <w:rFonts w:ascii="宋体" w:eastAsia="宋体" w:hint="eastAsia"/>
        </w:rPr>
        <w:t>教育部制</w:t>
      </w:r>
    </w:p>
    <w:p>
      <w:pPr>
        <w:jc w:val="center"/>
        <w:rPr>
          <w:rFonts w:hint="eastAsia"/>
        </w:rPr>
        <w:sectPr>
          <w:type w:val="continuous"/>
          <w:pgSz w:w="11911" w:h="16838" w:orient="portrait"/>
          <w:pgMar w:top="1417" w:right="850" w:bottom="1417" w:left="850" w:header="720" w:footer="720" w:gutter="0"/>
          <w:paperSrc w:first="0" w:other="0"/>
          <w:cols w:space="708"/>
          <w:titlePg w:val="0"/>
          <w:rtlGutter w:val="0"/>
          <w:docGrid w:charSpace="0"/>
        </w:sectPr>
      </w:pPr>
    </w:p>
    <w:p>
      <w:pPr>
        <w:pStyle w:val="ListParagraph"/>
        <w:numPr>
          <w:ilvl w:val="0"/>
          <w:numId w:val="0"/>
        </w:numPr>
        <w:tabs>
          <w:tab w:val="left" w:pos="3996"/>
        </w:tabs>
        <w:ind w:left="-1" w:right="255" w:leftChars="0" w:rightChars="0"/>
        <w:jc w:val="center"/>
        <w:rPr>
          <w:rFonts w:ascii="黑体" w:eastAsia="黑体" w:hint="eastAsia"/>
          <w:sz w:val="36"/>
        </w:rPr>
      </w:pPr>
      <w:r>
        <w:rPr>
          <w:rFonts w:ascii="黑体" w:eastAsia="黑体" w:hint="eastAsia"/>
          <w:sz w:val="36"/>
          <w:lang w:val="en-US" w:eastAsia="zh-CN"/>
        </w:rPr>
        <w:t>1.</w:t>
      </w:r>
      <w:r>
        <w:rPr>
          <w:rFonts w:ascii="黑体" w:eastAsia="黑体" w:hint="eastAsia"/>
          <w:sz w:val="36"/>
        </w:rPr>
        <w:t>学校基本情况</w:t>
      </w:r>
    </w:p>
    <w:p>
      <w:pPr>
        <w:pStyle w:val="BodyText"/>
        <w:jc w:val="center"/>
        <w:rPr>
          <w:sz w:val="20"/>
        </w:rPr>
      </w:pPr>
    </w:p>
    <w:p>
      <w:pPr>
        <w:pStyle w:val="BodyText"/>
        <w:spacing w:before="9"/>
        <w:jc w:val="center"/>
        <w:rPr>
          <w:sz w:val="10"/>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1981"/>
        <w:gridCol w:w="886"/>
        <w:gridCol w:w="1180"/>
        <w:gridCol w:w="169"/>
        <w:gridCol w:w="931"/>
        <w:gridCol w:w="204"/>
        <w:gridCol w:w="1096"/>
        <w:gridCol w:w="1119"/>
        <w:gridCol w:w="590"/>
        <w:gridCol w:w="1424"/>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467"/>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79"/>
              <w:ind w:left="97" w:right="88"/>
              <w:jc w:val="center"/>
              <w:rPr>
                <w:sz w:val="24"/>
              </w:rPr>
            </w:pPr>
            <w:r>
              <w:rPr>
                <w:sz w:val="24"/>
              </w:rPr>
              <w:t>学校名称</w:t>
            </w:r>
          </w:p>
        </w:tc>
        <w:tc>
          <w:tcPr>
            <w:tcW w:w="2066"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sz w:val="24"/>
              </w:rPr>
            </w:pPr>
            <w:r>
              <w:rPr>
                <w:rFonts w:ascii="Times New Roman" w:hint="eastAsia"/>
                <w:sz w:val="24"/>
              </w:rPr>
              <w:t>河北科技学院</w:t>
            </w:r>
          </w:p>
        </w:tc>
        <w:tc>
          <w:tcPr>
            <w:tcW w:w="1304" w:type="dxa"/>
            <w:gridSpan w:val="3"/>
            <w:tcBorders>
              <w:top w:val="single" w:sz="4" w:space="0" w:color="auto"/>
              <w:left w:val="single" w:sz="4" w:space="0" w:color="auto"/>
              <w:bottom w:val="single" w:sz="4" w:space="0" w:color="auto"/>
              <w:right w:val="single" w:sz="4" w:space="0" w:color="auto"/>
            </w:tcBorders>
          </w:tcPr>
          <w:p>
            <w:pPr>
              <w:pStyle w:val="TableParagraph"/>
              <w:spacing w:before="79"/>
              <w:ind w:left="276"/>
              <w:jc w:val="center"/>
              <w:rPr>
                <w:sz w:val="24"/>
              </w:rPr>
            </w:pPr>
            <w:r>
              <w:rPr>
                <w:sz w:val="24"/>
              </w:rPr>
              <w:t>学校代码</w:t>
            </w:r>
          </w:p>
        </w:tc>
        <w:tc>
          <w:tcPr>
            <w:tcW w:w="4229" w:type="dxa"/>
            <w:gridSpan w:val="4"/>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sz w:val="24"/>
              </w:rPr>
            </w:pPr>
            <w:r>
              <w:rPr>
                <w:rFonts w:ascii="Times New Roman" w:hint="eastAsia"/>
                <w:sz w:val="24"/>
              </w:rPr>
              <w:t>13391</w:t>
            </w:r>
          </w:p>
        </w:tc>
      </w:tr>
      <w:tr>
        <w:tblPrEx>
          <w:tblW w:w="0" w:type="auto"/>
          <w:jc w:val="center"/>
          <w:tblLayout w:type="fixed"/>
          <w:tblCellMar>
            <w:top w:w="0" w:type="dxa"/>
            <w:left w:w="0" w:type="dxa"/>
            <w:bottom w:w="0" w:type="dxa"/>
            <w:right w:w="0" w:type="dxa"/>
          </w:tblCellMar>
          <w:tblLook w:val="0000"/>
        </w:tblPrEx>
        <w:trPr>
          <w:trHeight w:val="467"/>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79"/>
              <w:ind w:left="97" w:right="88"/>
              <w:jc w:val="center"/>
              <w:rPr>
                <w:rFonts w:eastAsia="宋体" w:hint="eastAsia"/>
                <w:sz w:val="24"/>
                <w:lang w:eastAsia="zh-CN"/>
              </w:rPr>
            </w:pPr>
            <w:r>
              <w:rPr>
                <w:rFonts w:hint="eastAsia"/>
                <w:sz w:val="24"/>
                <w:lang w:eastAsia="zh-CN"/>
              </w:rPr>
              <w:t>学校主管部门</w:t>
            </w:r>
          </w:p>
        </w:tc>
        <w:tc>
          <w:tcPr>
            <w:tcW w:w="2066"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int="eastAsia"/>
                <w:sz w:val="24"/>
                <w:lang w:eastAsia="zh-CN"/>
              </w:rPr>
            </w:pPr>
            <w:r>
              <w:rPr>
                <w:rFonts w:ascii="Times New Roman" w:hint="eastAsia"/>
                <w:sz w:val="24"/>
                <w:lang w:eastAsia="zh-CN"/>
              </w:rPr>
              <w:t>河北省</w:t>
            </w:r>
          </w:p>
        </w:tc>
        <w:tc>
          <w:tcPr>
            <w:tcW w:w="1304" w:type="dxa"/>
            <w:gridSpan w:val="3"/>
            <w:tcBorders>
              <w:top w:val="single" w:sz="4" w:space="0" w:color="auto"/>
              <w:left w:val="single" w:sz="4" w:space="0" w:color="auto"/>
              <w:bottom w:val="single" w:sz="4" w:space="0" w:color="auto"/>
              <w:right w:val="single" w:sz="4" w:space="0" w:color="auto"/>
            </w:tcBorders>
          </w:tcPr>
          <w:p>
            <w:pPr>
              <w:pStyle w:val="TableParagraph"/>
              <w:spacing w:before="79"/>
              <w:ind w:left="276" w:leftChars="0"/>
              <w:jc w:val="center"/>
              <w:rPr>
                <w:rFonts w:ascii="宋体" w:eastAsia="宋体" w:hAnsi="宋体" w:cs="宋体"/>
                <w:sz w:val="24"/>
                <w:szCs w:val="22"/>
                <w:lang w:val="zh-CN" w:eastAsia="zh-CN" w:bidi="zh-CN"/>
              </w:rPr>
            </w:pPr>
            <w:r>
              <w:rPr>
                <w:sz w:val="24"/>
              </w:rPr>
              <w:t>学校网址</w:t>
            </w:r>
          </w:p>
        </w:tc>
        <w:tc>
          <w:tcPr>
            <w:tcW w:w="4229" w:type="dxa"/>
            <w:gridSpan w:val="4"/>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eastAsia"/>
                <w:sz w:val="24"/>
                <w:szCs w:val="22"/>
                <w:lang w:val="zh-CN" w:eastAsia="zh-CN" w:bidi="zh-CN"/>
              </w:rPr>
            </w:pPr>
            <w:r>
              <w:rPr>
                <w:rFonts w:ascii="Times New Roman" w:hint="eastAsia"/>
                <w:sz w:val="24"/>
              </w:rPr>
              <w:t>http://www.hbkjxy.cn</w:t>
            </w:r>
          </w:p>
        </w:tc>
      </w:tr>
      <w:tr>
        <w:tblPrEx>
          <w:tblW w:w="0" w:type="auto"/>
          <w:jc w:val="center"/>
          <w:tblLayout w:type="fixed"/>
          <w:tblCellMar>
            <w:top w:w="0" w:type="dxa"/>
            <w:left w:w="0" w:type="dxa"/>
            <w:bottom w:w="0" w:type="dxa"/>
            <w:right w:w="0" w:type="dxa"/>
          </w:tblCellMar>
          <w:tblLook w:val="0000"/>
        </w:tblPrEx>
        <w:trPr>
          <w:trHeight w:val="467"/>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79"/>
              <w:ind w:left="97" w:right="88"/>
              <w:jc w:val="center"/>
              <w:rPr>
                <w:rFonts w:eastAsia="宋体" w:hint="eastAsia"/>
                <w:sz w:val="24"/>
                <w:lang w:eastAsia="zh-CN"/>
              </w:rPr>
            </w:pPr>
            <w:r>
              <w:rPr>
                <w:rFonts w:hint="eastAsia"/>
                <w:sz w:val="24"/>
                <w:lang w:eastAsia="zh-CN"/>
              </w:rPr>
              <w:t>学校所在省市区</w:t>
            </w:r>
          </w:p>
        </w:tc>
        <w:tc>
          <w:tcPr>
            <w:tcW w:w="2066"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int="default"/>
                <w:sz w:val="24"/>
                <w:lang w:val="en-US" w:eastAsia="zh-CN"/>
              </w:rPr>
            </w:pPr>
            <w:r>
              <w:rPr>
                <w:rFonts w:ascii="Times New Roman" w:hint="eastAsia"/>
                <w:sz w:val="24"/>
                <w:lang w:eastAsia="zh-CN"/>
              </w:rPr>
              <w:t>河北省保定市南二环路</w:t>
            </w:r>
            <w:r>
              <w:rPr>
                <w:rFonts w:ascii="Times New Roman" w:hint="eastAsia"/>
                <w:sz w:val="24"/>
                <w:lang w:val="en-US" w:eastAsia="zh-CN"/>
              </w:rPr>
              <w:t>1956号</w:t>
            </w:r>
          </w:p>
        </w:tc>
        <w:tc>
          <w:tcPr>
            <w:tcW w:w="1304" w:type="dxa"/>
            <w:gridSpan w:val="3"/>
            <w:tcBorders>
              <w:top w:val="single" w:sz="4" w:space="0" w:color="auto"/>
              <w:left w:val="single" w:sz="4" w:space="0" w:color="auto"/>
              <w:bottom w:val="single" w:sz="4" w:space="0" w:color="auto"/>
              <w:right w:val="single" w:sz="4" w:space="0" w:color="auto"/>
            </w:tcBorders>
          </w:tcPr>
          <w:p>
            <w:pPr>
              <w:pStyle w:val="TableParagraph"/>
              <w:spacing w:before="79"/>
              <w:ind w:left="97" w:right="88" w:leftChars="0" w:rightChars="0"/>
              <w:jc w:val="center"/>
              <w:rPr>
                <w:rFonts w:ascii="宋体" w:eastAsia="宋体" w:hAnsi="宋体" w:cs="宋体"/>
                <w:sz w:val="24"/>
                <w:szCs w:val="22"/>
                <w:lang w:val="zh-CN" w:eastAsia="zh-CN" w:bidi="zh-CN"/>
              </w:rPr>
            </w:pPr>
            <w:r>
              <w:rPr>
                <w:sz w:val="24"/>
              </w:rPr>
              <w:t>邮政编码</w:t>
            </w:r>
          </w:p>
        </w:tc>
        <w:tc>
          <w:tcPr>
            <w:tcW w:w="4229" w:type="dxa"/>
            <w:gridSpan w:val="4"/>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sz w:val="24"/>
                <w:szCs w:val="22"/>
                <w:lang w:val="zh-CN" w:eastAsia="zh-CN" w:bidi="zh-CN"/>
              </w:rPr>
            </w:pPr>
            <w:r>
              <w:rPr>
                <w:rFonts w:ascii="Times New Roman" w:hint="eastAsia"/>
                <w:sz w:val="24"/>
              </w:rPr>
              <w:t>071000</w:t>
            </w:r>
          </w:p>
        </w:tc>
      </w:tr>
      <w:tr>
        <w:tblPrEx>
          <w:tblW w:w="0" w:type="auto"/>
          <w:jc w:val="center"/>
          <w:tblLayout w:type="fixed"/>
          <w:tblCellMar>
            <w:top w:w="0" w:type="dxa"/>
            <w:left w:w="0" w:type="dxa"/>
            <w:bottom w:w="0" w:type="dxa"/>
            <w:right w:w="0" w:type="dxa"/>
          </w:tblCellMar>
          <w:tblLook w:val="0000"/>
        </w:tblPrEx>
        <w:trPr>
          <w:trHeight w:val="935"/>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79" w:line="304" w:lineRule="auto"/>
              <w:ind w:left="448" w:right="437"/>
              <w:jc w:val="center"/>
              <w:rPr>
                <w:sz w:val="24"/>
              </w:rPr>
            </w:pPr>
            <w:r>
              <w:rPr>
                <w:sz w:val="24"/>
              </w:rPr>
              <w:t>学校办学基本类型</w:t>
            </w:r>
          </w:p>
        </w:tc>
        <w:tc>
          <w:tcPr>
            <w:tcW w:w="2066" w:type="dxa"/>
            <w:gridSpan w:val="2"/>
            <w:tcBorders>
              <w:top w:val="single" w:sz="4" w:space="0" w:color="auto"/>
              <w:left w:val="single" w:sz="4" w:space="0" w:color="auto"/>
              <w:bottom w:val="single" w:sz="4" w:space="0" w:color="auto"/>
              <w:right w:val="nil"/>
            </w:tcBorders>
          </w:tcPr>
          <w:p>
            <w:pPr>
              <w:pStyle w:val="TableParagraph"/>
              <w:spacing w:before="79"/>
              <w:ind w:left="107"/>
              <w:jc w:val="center"/>
              <w:rPr>
                <w:sz w:val="24"/>
              </w:rPr>
            </w:pPr>
            <w:r>
              <w:rPr>
                <w:rFonts w:ascii="Times New Roman" w:eastAsia="Times New Roman" w:hAnsi="Times New Roman"/>
                <w:sz w:val="24"/>
              </w:rPr>
              <w:t>□</w:t>
            </w:r>
            <w:r>
              <w:rPr>
                <w:sz w:val="24"/>
              </w:rPr>
              <w:t>教育部直属院校</w:t>
            </w:r>
          </w:p>
          <w:p>
            <w:pPr>
              <w:pStyle w:val="TableParagraph"/>
              <w:tabs>
                <w:tab w:val="left" w:pos="1091"/>
              </w:tabs>
              <w:spacing w:before="160"/>
              <w:ind w:left="107"/>
              <w:jc w:val="center"/>
              <w:rPr>
                <w:sz w:val="24"/>
              </w:rPr>
            </w:pPr>
            <w:r>
              <w:rPr>
                <w:rFonts w:ascii="Times New Roman" w:eastAsia="Times New Roman" w:hAnsi="Times New Roman"/>
                <w:sz w:val="24"/>
              </w:rPr>
              <w:t>□</w:t>
            </w:r>
            <w:r>
              <w:rPr>
                <w:sz w:val="24"/>
              </w:rPr>
              <w:t>公办</w:t>
            </w:r>
            <w:r>
              <w:rPr>
                <w:sz w:val="24"/>
              </w:rPr>
              <w:tab/>
            </w:r>
            <w:r>
              <w:rPr>
                <w:rFonts w:ascii="Times New Roman" w:hAnsi="Times New Roman" w:cs="Times New Roman" w:hint="eastAsia"/>
                <w:sz w:val="20"/>
                <w:szCs w:val="20"/>
                <w:lang w:eastAsia="zh-CN"/>
              </w:rPr>
              <w:t>☑</w:t>
            </w:r>
            <w:r>
              <w:rPr>
                <w:sz w:val="24"/>
              </w:rPr>
              <w:t>民办</w:t>
            </w:r>
          </w:p>
        </w:tc>
        <w:tc>
          <w:tcPr>
            <w:tcW w:w="2400" w:type="dxa"/>
            <w:gridSpan w:val="4"/>
            <w:tcBorders>
              <w:top w:val="single" w:sz="4" w:space="0" w:color="auto"/>
              <w:left w:val="nil"/>
              <w:bottom w:val="single" w:sz="4" w:space="0" w:color="auto"/>
              <w:right w:val="nil"/>
            </w:tcBorders>
          </w:tcPr>
          <w:p>
            <w:pPr>
              <w:pStyle w:val="TableParagraph"/>
              <w:spacing w:before="79"/>
              <w:ind w:left="321"/>
              <w:jc w:val="center"/>
              <w:rPr>
                <w:sz w:val="24"/>
              </w:rPr>
            </w:pPr>
            <w:r>
              <w:rPr>
                <w:rFonts w:ascii="Times New Roman" w:eastAsia="Times New Roman" w:hAnsi="Times New Roman"/>
                <w:sz w:val="24"/>
              </w:rPr>
              <w:t>□</w:t>
            </w:r>
            <w:r>
              <w:rPr>
                <w:sz w:val="24"/>
              </w:rPr>
              <w:t>其他部委所属院校</w:t>
            </w:r>
          </w:p>
          <w:p>
            <w:pPr>
              <w:pStyle w:val="TableParagraph"/>
              <w:spacing w:before="160"/>
              <w:ind w:left="105"/>
              <w:jc w:val="center"/>
              <w:rPr>
                <w:sz w:val="24"/>
              </w:rPr>
            </w:pPr>
            <w:r>
              <w:rPr>
                <w:rFonts w:ascii="Times New Roman" w:eastAsia="Times New Roman" w:hAnsi="Times New Roman"/>
                <w:sz w:val="24"/>
              </w:rPr>
              <w:t>□</w:t>
            </w:r>
            <w:r>
              <w:rPr>
                <w:sz w:val="24"/>
              </w:rPr>
              <w:t>中外合作办学机构</w:t>
            </w:r>
          </w:p>
        </w:tc>
        <w:tc>
          <w:tcPr>
            <w:tcW w:w="3133" w:type="dxa"/>
            <w:gridSpan w:val="3"/>
            <w:tcBorders>
              <w:top w:val="single" w:sz="4" w:space="0" w:color="auto"/>
              <w:left w:val="nil"/>
              <w:bottom w:val="single" w:sz="4" w:space="0" w:color="auto"/>
              <w:right w:val="single" w:sz="4" w:space="0" w:color="auto"/>
            </w:tcBorders>
          </w:tcPr>
          <w:p>
            <w:pPr>
              <w:pStyle w:val="TableParagraph"/>
              <w:spacing w:before="79"/>
              <w:ind w:left="326"/>
              <w:jc w:val="center"/>
              <w:rPr>
                <w:sz w:val="24"/>
              </w:rPr>
            </w:pPr>
            <w:r>
              <w:rPr>
                <w:rFonts w:ascii="Wingdings 2" w:eastAsia="Times New Roman" w:hAnsi="Wingdings 2" w:cs="Times New Roman"/>
                <w:sz w:val="20"/>
              </w:rPr>
              <w:sym w:font="Wingdings 2" w:char="F052"/>
            </w:r>
            <w:r>
              <w:rPr>
                <w:sz w:val="24"/>
              </w:rPr>
              <w:t>地方院校</w:t>
            </w:r>
          </w:p>
        </w:tc>
      </w:tr>
      <w:tr>
        <w:tblPrEx>
          <w:tblW w:w="0" w:type="auto"/>
          <w:jc w:val="center"/>
          <w:tblLayout w:type="fixed"/>
          <w:tblCellMar>
            <w:top w:w="0" w:type="dxa"/>
            <w:left w:w="0" w:type="dxa"/>
            <w:bottom w:w="0" w:type="dxa"/>
            <w:right w:w="0" w:type="dxa"/>
          </w:tblCellMar>
          <w:tblLook w:val="0000"/>
        </w:tblPrEx>
        <w:trPr>
          <w:trHeight w:val="940"/>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168" w:line="249" w:lineRule="auto"/>
              <w:ind w:left="448" w:right="437" w:leftChars="0" w:rightChars="0"/>
              <w:jc w:val="center"/>
              <w:rPr>
                <w:rFonts w:ascii="宋体" w:eastAsia="宋体" w:hAnsi="宋体" w:cs="宋体"/>
                <w:sz w:val="24"/>
                <w:szCs w:val="22"/>
                <w:lang w:val="zh-CN" w:eastAsia="zh-CN" w:bidi="zh-CN"/>
              </w:rPr>
            </w:pPr>
            <w:r>
              <w:rPr>
                <w:sz w:val="24"/>
              </w:rPr>
              <w:t>已有专业学科门类</w:t>
            </w:r>
          </w:p>
        </w:tc>
        <w:tc>
          <w:tcPr>
            <w:tcW w:w="2066" w:type="dxa"/>
            <w:gridSpan w:val="2"/>
            <w:tcBorders>
              <w:top w:val="single" w:sz="4" w:space="0" w:color="auto"/>
              <w:left w:val="single" w:sz="4" w:space="0" w:color="auto"/>
              <w:bottom w:val="single" w:sz="4" w:space="0" w:color="auto"/>
              <w:right w:val="nil"/>
            </w:tcBorders>
          </w:tcPr>
          <w:p>
            <w:pPr>
              <w:pStyle w:val="TableParagraph"/>
              <w:tabs>
                <w:tab w:val="left" w:pos="1091"/>
              </w:tabs>
              <w:spacing w:before="81"/>
              <w:ind w:left="107"/>
              <w:jc w:val="center"/>
              <w:rPr>
                <w:sz w:val="24"/>
              </w:rPr>
            </w:pPr>
            <w:r>
              <w:rPr>
                <w:rFonts w:ascii="Times New Roman" w:hAnsi="Times New Roman" w:cs="Times New Roman" w:hint="eastAsia"/>
                <w:sz w:val="20"/>
                <w:lang w:val="en-US" w:eastAsia="zh-CN"/>
              </w:rPr>
              <w:t xml:space="preserve">  </w:t>
            </w:r>
            <w:r>
              <w:rPr>
                <w:rFonts w:ascii="Wingdings 2" w:hAnsi="Wingdings 2" w:cs="Times New Roman"/>
                <w:sz w:val="20"/>
                <w:lang w:eastAsia="zh-CN"/>
              </w:rPr>
              <w:sym w:font="Wingdings 2" w:char="F0A3"/>
            </w:r>
            <w:r>
              <w:rPr>
                <w:sz w:val="24"/>
              </w:rPr>
              <w:t>哲学</w:t>
            </w:r>
            <w:r>
              <w:rPr>
                <w:sz w:val="24"/>
              </w:rPr>
              <w:tab/>
            </w:r>
            <w:r>
              <w:rPr>
                <w:rFonts w:ascii="Times New Roman" w:hAnsi="Times New Roman" w:cs="Times New Roman" w:hint="eastAsia"/>
                <w:sz w:val="20"/>
                <w:szCs w:val="20"/>
                <w:lang w:eastAsia="zh-CN"/>
              </w:rPr>
              <w:t>☑</w:t>
            </w:r>
            <w:r>
              <w:t>经济</w:t>
            </w:r>
            <w:r>
              <w:rPr>
                <w:rFonts w:hint="eastAsia"/>
              </w:rPr>
              <w:t>学</w:t>
            </w:r>
          </w:p>
          <w:p>
            <w:pPr>
              <w:pStyle w:val="TableParagraph"/>
              <w:tabs>
                <w:tab w:val="left" w:pos="1091"/>
              </w:tabs>
              <w:spacing w:before="84"/>
              <w:ind w:left="107" w:leftChars="0"/>
              <w:jc w:val="center"/>
              <w:rPr>
                <w:rFonts w:ascii="宋体" w:eastAsia="宋体" w:hAnsi="宋体" w:cs="宋体"/>
                <w:sz w:val="24"/>
                <w:szCs w:val="22"/>
                <w:lang w:val="zh-CN" w:eastAsia="zh-CN" w:bidi="zh-CN"/>
              </w:rPr>
            </w:pPr>
            <w:r>
              <w:rPr>
                <w:rFonts w:ascii="Times New Roman" w:hAnsi="Times New Roman" w:cs="Times New Roman" w:hint="eastAsia"/>
                <w:sz w:val="20"/>
                <w:lang w:eastAsia="zh-CN"/>
              </w:rPr>
              <w:t>□</w:t>
            </w:r>
            <w:r>
              <w:rPr>
                <w:sz w:val="24"/>
              </w:rPr>
              <w:t>理学</w:t>
            </w:r>
            <w:r>
              <w:rPr>
                <w:sz w:val="24"/>
              </w:rPr>
              <w:tab/>
            </w:r>
            <w:r>
              <w:rPr>
                <w:rFonts w:ascii="Times New Roman" w:hAnsi="Times New Roman" w:cs="Times New Roman" w:hint="eastAsia"/>
                <w:sz w:val="20"/>
                <w:lang w:eastAsia="zh-CN"/>
              </w:rPr>
              <w:t>☑</w:t>
            </w:r>
            <w:r>
              <w:rPr>
                <w:sz w:val="24"/>
              </w:rPr>
              <w:t>工学</w:t>
            </w:r>
          </w:p>
        </w:tc>
        <w:tc>
          <w:tcPr>
            <w:tcW w:w="1100" w:type="dxa"/>
            <w:gridSpan w:val="2"/>
            <w:tcBorders>
              <w:top w:val="single" w:sz="4" w:space="0" w:color="auto"/>
              <w:left w:val="nil"/>
              <w:bottom w:val="single" w:sz="4" w:space="0" w:color="auto"/>
              <w:right w:val="nil"/>
            </w:tcBorders>
          </w:tcPr>
          <w:p>
            <w:pPr>
              <w:pStyle w:val="TableParagraph"/>
              <w:spacing w:before="81"/>
              <w:ind w:left="345"/>
              <w:jc w:val="center"/>
              <w:rPr>
                <w:sz w:val="24"/>
              </w:rPr>
            </w:pPr>
            <w:r>
              <w:rPr>
                <w:rFonts w:ascii="Times New Roman" w:hAnsi="Times New Roman" w:cs="Times New Roman" w:hint="eastAsia"/>
                <w:sz w:val="20"/>
                <w:lang w:eastAsia="zh-CN"/>
              </w:rPr>
              <w:t>□</w:t>
            </w:r>
            <w:r>
              <w:rPr>
                <w:sz w:val="24"/>
              </w:rPr>
              <w:t>法学</w:t>
            </w:r>
          </w:p>
          <w:p>
            <w:pPr>
              <w:pStyle w:val="TableParagraph"/>
              <w:spacing w:before="84"/>
              <w:ind w:left="345" w:leftChars="0"/>
              <w:jc w:val="center"/>
              <w:rPr>
                <w:rFonts w:ascii="宋体" w:eastAsia="宋体" w:hAnsi="宋体" w:cs="宋体"/>
                <w:sz w:val="24"/>
                <w:szCs w:val="22"/>
                <w:lang w:val="zh-CN" w:eastAsia="zh-CN" w:bidi="zh-CN"/>
              </w:rPr>
            </w:pPr>
            <w:r>
              <w:rPr>
                <w:rFonts w:ascii="Times New Roman" w:hAnsi="Times New Roman" w:cs="Times New Roman" w:hint="eastAsia"/>
                <w:sz w:val="20"/>
                <w:lang w:eastAsia="zh-CN"/>
              </w:rPr>
              <w:t>□</w:t>
            </w:r>
            <w:r>
              <w:rPr>
                <w:sz w:val="24"/>
              </w:rPr>
              <w:t>农学</w:t>
            </w:r>
          </w:p>
        </w:tc>
        <w:tc>
          <w:tcPr>
            <w:tcW w:w="1300" w:type="dxa"/>
            <w:gridSpan w:val="2"/>
            <w:tcBorders>
              <w:top w:val="single" w:sz="4" w:space="0" w:color="auto"/>
              <w:left w:val="nil"/>
              <w:bottom w:val="single" w:sz="4" w:space="0" w:color="auto"/>
              <w:right w:val="nil"/>
            </w:tcBorders>
          </w:tcPr>
          <w:p>
            <w:pPr>
              <w:pStyle w:val="TableParagraph"/>
              <w:spacing w:before="81"/>
              <w:ind w:left="159"/>
              <w:jc w:val="center"/>
              <w:rPr>
                <w:sz w:val="24"/>
              </w:rPr>
            </w:pPr>
            <w:r>
              <w:rPr>
                <w:rFonts w:ascii="Times New Roman" w:hAnsi="Times New Roman" w:cs="Times New Roman" w:hint="eastAsia"/>
                <w:sz w:val="20"/>
                <w:lang w:eastAsia="zh-CN"/>
              </w:rPr>
              <w:t>☑</w:t>
            </w:r>
            <w:r>
              <w:rPr>
                <w:sz w:val="24"/>
              </w:rPr>
              <w:t>教育学</w:t>
            </w:r>
          </w:p>
          <w:p>
            <w:pPr>
              <w:pStyle w:val="TableParagraph"/>
              <w:spacing w:before="84"/>
              <w:ind w:left="159" w:leftChars="0"/>
              <w:jc w:val="center"/>
              <w:rPr>
                <w:rFonts w:ascii="宋体" w:eastAsia="宋体" w:hAnsi="宋体" w:cs="宋体"/>
                <w:sz w:val="24"/>
                <w:szCs w:val="22"/>
                <w:lang w:val="zh-CN" w:eastAsia="zh-CN" w:bidi="zh-CN"/>
              </w:rPr>
            </w:pPr>
            <w:r>
              <w:rPr>
                <w:rFonts w:ascii="Wingdings 2" w:eastAsia="Times New Roman" w:hAnsi="Wingdings 2"/>
                <w:sz w:val="24"/>
              </w:rPr>
              <w:sym w:font="Wingdings 2" w:char="F052"/>
            </w:r>
            <w:r>
              <w:rPr>
                <w:sz w:val="24"/>
              </w:rPr>
              <w:t>医学</w:t>
            </w:r>
          </w:p>
        </w:tc>
        <w:tc>
          <w:tcPr>
            <w:tcW w:w="1119" w:type="dxa"/>
            <w:tcBorders>
              <w:top w:val="single" w:sz="4" w:space="0" w:color="auto"/>
              <w:left w:val="nil"/>
              <w:bottom w:val="single" w:sz="4" w:space="0" w:color="auto"/>
              <w:right w:val="nil"/>
            </w:tcBorders>
          </w:tcPr>
          <w:p>
            <w:pPr>
              <w:pStyle w:val="TableParagraph"/>
              <w:spacing w:before="81"/>
              <w:ind w:left="134"/>
              <w:jc w:val="center"/>
              <w:rPr>
                <w:sz w:val="24"/>
              </w:rPr>
            </w:pPr>
            <w:r>
              <w:rPr>
                <w:rFonts w:ascii="Times New Roman" w:hAnsi="Times New Roman" w:cs="Times New Roman" w:hint="eastAsia"/>
                <w:sz w:val="20"/>
                <w:lang w:eastAsia="zh-CN"/>
              </w:rPr>
              <w:t>□</w:t>
            </w:r>
            <w:r>
              <w:rPr>
                <w:sz w:val="24"/>
              </w:rPr>
              <w:t>文学</w:t>
            </w:r>
          </w:p>
          <w:p>
            <w:pPr>
              <w:pStyle w:val="TableParagraph"/>
              <w:spacing w:before="84"/>
              <w:ind w:left="134" w:leftChars="0"/>
              <w:jc w:val="center"/>
              <w:rPr>
                <w:rFonts w:ascii="宋体" w:eastAsia="宋体" w:hAnsi="宋体" w:cs="宋体"/>
                <w:sz w:val="24"/>
                <w:szCs w:val="22"/>
                <w:lang w:val="zh-CN" w:eastAsia="zh-CN" w:bidi="zh-CN"/>
              </w:rPr>
            </w:pPr>
            <w:r>
              <w:rPr>
                <w:rFonts w:ascii="Times New Roman" w:hAnsi="Times New Roman" w:cs="Times New Roman" w:hint="eastAsia"/>
                <w:sz w:val="20"/>
                <w:lang w:eastAsia="zh-CN"/>
              </w:rPr>
              <w:t>☑</w:t>
            </w:r>
            <w:r>
              <w:rPr>
                <w:sz w:val="24"/>
              </w:rPr>
              <w:t>管理</w:t>
            </w:r>
            <w:r>
              <w:rPr>
                <w:rFonts w:hint="eastAsia"/>
                <w:sz w:val="24"/>
              </w:rPr>
              <w:t>学</w:t>
            </w:r>
          </w:p>
        </w:tc>
        <w:tc>
          <w:tcPr>
            <w:tcW w:w="2014" w:type="dxa"/>
            <w:gridSpan w:val="2"/>
            <w:tcBorders>
              <w:top w:val="single" w:sz="4" w:space="0" w:color="auto"/>
              <w:left w:val="nil"/>
              <w:bottom w:val="single" w:sz="4" w:space="0" w:color="auto"/>
              <w:right w:val="single" w:sz="4" w:space="0" w:color="auto"/>
            </w:tcBorders>
          </w:tcPr>
          <w:p>
            <w:pPr>
              <w:pStyle w:val="TableParagraph"/>
              <w:spacing w:before="81"/>
              <w:ind w:left="182"/>
              <w:jc w:val="center"/>
              <w:rPr>
                <w:sz w:val="24"/>
              </w:rPr>
            </w:pPr>
            <w:r>
              <w:rPr>
                <w:rFonts w:ascii="Times New Roman" w:hAnsi="Times New Roman" w:cs="Times New Roman" w:hint="eastAsia"/>
                <w:sz w:val="20"/>
                <w:lang w:eastAsia="zh-CN"/>
              </w:rPr>
              <w:t>□</w:t>
            </w:r>
            <w:r>
              <w:rPr>
                <w:sz w:val="24"/>
              </w:rPr>
              <w:t>历史学</w:t>
            </w:r>
          </w:p>
          <w:p>
            <w:pPr>
              <w:pStyle w:val="TableParagraph"/>
              <w:spacing w:before="84"/>
              <w:ind w:left="182" w:leftChars="0"/>
              <w:jc w:val="center"/>
              <w:rPr>
                <w:rFonts w:ascii="宋体" w:eastAsia="宋体" w:hAnsi="宋体" w:cs="宋体"/>
                <w:sz w:val="24"/>
                <w:szCs w:val="22"/>
                <w:lang w:val="zh-CN" w:eastAsia="zh-CN" w:bidi="zh-CN"/>
              </w:rPr>
            </w:pPr>
            <w:r>
              <w:rPr>
                <w:rFonts w:ascii="Times New Roman" w:hAnsi="Times New Roman" w:cs="Times New Roman" w:hint="eastAsia"/>
                <w:sz w:val="20"/>
                <w:lang w:eastAsia="zh-CN"/>
              </w:rPr>
              <w:t>☑</w:t>
            </w:r>
            <w:r>
              <w:rPr>
                <w:sz w:val="24"/>
              </w:rPr>
              <w:t>艺术学</w:t>
            </w:r>
          </w:p>
        </w:tc>
      </w:tr>
      <w:tr>
        <w:tblPrEx>
          <w:tblW w:w="0" w:type="auto"/>
          <w:jc w:val="center"/>
          <w:tblLayout w:type="fixed"/>
          <w:tblCellMar>
            <w:top w:w="0" w:type="dxa"/>
            <w:left w:w="0" w:type="dxa"/>
            <w:bottom w:w="0" w:type="dxa"/>
            <w:right w:w="0" w:type="dxa"/>
          </w:tblCellMar>
          <w:tblLook w:val="0000"/>
        </w:tblPrEx>
        <w:trPr>
          <w:trHeight w:val="940"/>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8"/>
              <w:jc w:val="center"/>
              <w:rPr>
                <w:rFonts w:ascii="黑体"/>
                <w:sz w:val="25"/>
              </w:rPr>
            </w:pPr>
          </w:p>
          <w:p>
            <w:pPr>
              <w:pStyle w:val="TableParagraph"/>
              <w:ind w:left="97" w:right="88"/>
              <w:jc w:val="center"/>
              <w:rPr>
                <w:sz w:val="24"/>
              </w:rPr>
            </w:pPr>
            <w:r>
              <w:rPr>
                <w:sz w:val="24"/>
              </w:rPr>
              <w:t>学校性质</w:t>
            </w:r>
          </w:p>
        </w:tc>
        <w:tc>
          <w:tcPr>
            <w:tcW w:w="886" w:type="dxa"/>
            <w:tcBorders>
              <w:top w:val="single" w:sz="4" w:space="0" w:color="auto"/>
              <w:left w:val="single" w:sz="4" w:space="0" w:color="auto"/>
              <w:bottom w:val="single" w:sz="4" w:space="0" w:color="auto"/>
              <w:right w:val="nil"/>
            </w:tcBorders>
          </w:tcPr>
          <w:p>
            <w:pPr>
              <w:pStyle w:val="TableParagraph"/>
              <w:spacing w:before="158"/>
              <w:ind w:left="107"/>
              <w:jc w:val="center"/>
              <w:rPr>
                <w:sz w:val="24"/>
              </w:rPr>
            </w:pPr>
            <w:r>
              <w:rPr>
                <w:sz w:val="24"/>
              </w:rPr>
              <w:t>○综合</w:t>
            </w:r>
          </w:p>
          <w:p>
            <w:pPr>
              <w:pStyle w:val="TableParagraph"/>
              <w:spacing w:before="4"/>
              <w:ind w:left="107"/>
              <w:jc w:val="center"/>
              <w:rPr>
                <w:sz w:val="24"/>
              </w:rPr>
            </w:pPr>
            <w:r>
              <w:rPr>
                <w:sz w:val="24"/>
              </w:rPr>
              <w:t>○语言</w:t>
            </w:r>
          </w:p>
        </w:tc>
        <w:tc>
          <w:tcPr>
            <w:tcW w:w="1180" w:type="dxa"/>
            <w:tcBorders>
              <w:top w:val="single" w:sz="4" w:space="0" w:color="auto"/>
              <w:left w:val="nil"/>
              <w:bottom w:val="single" w:sz="4" w:space="0" w:color="auto"/>
              <w:right w:val="nil"/>
            </w:tcBorders>
          </w:tcPr>
          <w:p>
            <w:pPr>
              <w:pStyle w:val="TableParagraph"/>
              <w:spacing w:before="158"/>
              <w:ind w:left="183"/>
              <w:jc w:val="center"/>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Pr>
                <w:rFonts w:hint="eastAsia"/>
                <w:position w:val="3"/>
                <w:sz w:val="16"/>
              </w:rPr>
              <w:instrText>√</w:instrText>
            </w:r>
            <w:r>
              <w:rPr>
                <w:rFonts w:hint="eastAsia"/>
                <w:sz w:val="24"/>
              </w:rPr>
              <w:instrText>)</w:instrText>
            </w:r>
            <w:r>
              <w:rPr>
                <w:sz w:val="24"/>
              </w:rPr>
              <w:fldChar w:fldCharType="separate"/>
            </w:r>
            <w:r>
              <w:rPr>
                <w:sz w:val="24"/>
              </w:rPr>
              <w:fldChar w:fldCharType="end"/>
            </w:r>
            <w:r>
              <w:rPr>
                <w:sz w:val="24"/>
              </w:rPr>
              <w:t>理工</w:t>
            </w:r>
          </w:p>
          <w:p>
            <w:pPr>
              <w:pStyle w:val="TableParagraph"/>
              <w:spacing w:before="4"/>
              <w:ind w:left="183"/>
              <w:jc w:val="center"/>
              <w:rPr>
                <w:sz w:val="24"/>
              </w:rPr>
            </w:pPr>
            <w:r>
              <w:rPr>
                <w:sz w:val="24"/>
              </w:rPr>
              <w:t>○财经</w:t>
            </w:r>
          </w:p>
        </w:tc>
        <w:tc>
          <w:tcPr>
            <w:tcW w:w="1100" w:type="dxa"/>
            <w:gridSpan w:val="2"/>
            <w:tcBorders>
              <w:top w:val="single" w:sz="4" w:space="0" w:color="auto"/>
              <w:left w:val="nil"/>
              <w:bottom w:val="single" w:sz="4" w:space="0" w:color="auto"/>
              <w:right w:val="nil"/>
            </w:tcBorders>
          </w:tcPr>
          <w:p>
            <w:pPr>
              <w:pStyle w:val="TableParagraph"/>
              <w:spacing w:before="158"/>
              <w:ind w:left="297"/>
              <w:jc w:val="center"/>
              <w:rPr>
                <w:sz w:val="24"/>
              </w:rPr>
            </w:pPr>
            <w:r>
              <w:rPr>
                <w:sz w:val="24"/>
              </w:rPr>
              <w:t>○农业</w:t>
            </w:r>
          </w:p>
          <w:p>
            <w:pPr>
              <w:pStyle w:val="TableParagraph"/>
              <w:spacing w:before="4"/>
              <w:ind w:left="297"/>
              <w:jc w:val="center"/>
              <w:rPr>
                <w:sz w:val="24"/>
              </w:rPr>
            </w:pPr>
            <w:r>
              <w:rPr>
                <w:sz w:val="24"/>
              </w:rPr>
              <w:t>○政法</w:t>
            </w:r>
          </w:p>
        </w:tc>
        <w:tc>
          <w:tcPr>
            <w:tcW w:w="1300" w:type="dxa"/>
            <w:gridSpan w:val="2"/>
            <w:tcBorders>
              <w:top w:val="single" w:sz="4" w:space="0" w:color="auto"/>
              <w:left w:val="nil"/>
              <w:bottom w:val="single" w:sz="4" w:space="0" w:color="auto"/>
              <w:right w:val="nil"/>
            </w:tcBorders>
          </w:tcPr>
          <w:p>
            <w:pPr>
              <w:pStyle w:val="TableParagraph"/>
              <w:spacing w:before="158"/>
              <w:ind w:left="205"/>
              <w:jc w:val="center"/>
              <w:rPr>
                <w:sz w:val="24"/>
              </w:rPr>
            </w:pPr>
            <w:r>
              <w:rPr>
                <w:sz w:val="24"/>
              </w:rPr>
              <w:t>○林业</w:t>
            </w:r>
          </w:p>
          <w:p>
            <w:pPr>
              <w:pStyle w:val="TableParagraph"/>
              <w:spacing w:before="4"/>
              <w:ind w:left="205"/>
              <w:jc w:val="center"/>
              <w:rPr>
                <w:sz w:val="24"/>
              </w:rPr>
            </w:pPr>
            <w:r>
              <w:rPr>
                <w:sz w:val="24"/>
              </w:rPr>
              <w:t>○体育</w:t>
            </w:r>
          </w:p>
        </w:tc>
        <w:tc>
          <w:tcPr>
            <w:tcW w:w="1119" w:type="dxa"/>
            <w:tcBorders>
              <w:top w:val="single" w:sz="4" w:space="0" w:color="auto"/>
              <w:left w:val="nil"/>
              <w:bottom w:val="single" w:sz="4" w:space="0" w:color="auto"/>
              <w:right w:val="nil"/>
            </w:tcBorders>
          </w:tcPr>
          <w:p>
            <w:pPr>
              <w:pStyle w:val="TableParagraph"/>
              <w:spacing w:before="158"/>
              <w:ind w:left="36"/>
              <w:jc w:val="center"/>
              <w:rPr>
                <w:sz w:val="24"/>
              </w:rPr>
            </w:pPr>
            <w:r>
              <w:rPr>
                <w:sz w:val="24"/>
              </w:rPr>
              <w:t>○医药</w:t>
            </w:r>
          </w:p>
          <w:p>
            <w:pPr>
              <w:pStyle w:val="TableParagraph"/>
              <w:spacing w:before="4"/>
              <w:ind w:left="36"/>
              <w:jc w:val="center"/>
              <w:rPr>
                <w:sz w:val="24"/>
              </w:rPr>
            </w:pPr>
            <w:r>
              <w:rPr>
                <w:sz w:val="24"/>
              </w:rPr>
              <w:t>○艺术</w:t>
            </w:r>
          </w:p>
        </w:tc>
        <w:tc>
          <w:tcPr>
            <w:tcW w:w="2014" w:type="dxa"/>
            <w:gridSpan w:val="2"/>
            <w:tcBorders>
              <w:top w:val="single" w:sz="4" w:space="0" w:color="auto"/>
              <w:left w:val="nil"/>
              <w:bottom w:val="single" w:sz="4" w:space="0" w:color="auto"/>
              <w:right w:val="single" w:sz="4" w:space="0" w:color="auto"/>
            </w:tcBorders>
          </w:tcPr>
          <w:p>
            <w:pPr>
              <w:pStyle w:val="TableParagraph"/>
              <w:spacing w:before="158"/>
              <w:ind w:left="57"/>
              <w:jc w:val="center"/>
              <w:rPr>
                <w:sz w:val="24"/>
              </w:rPr>
            </w:pPr>
            <w:r>
              <w:rPr>
                <w:sz w:val="24"/>
              </w:rPr>
              <w:t>○师范</w:t>
            </w:r>
          </w:p>
          <w:p>
            <w:pPr>
              <w:pStyle w:val="TableParagraph"/>
              <w:spacing w:before="4"/>
              <w:ind w:left="57"/>
              <w:jc w:val="center"/>
              <w:rPr>
                <w:sz w:val="24"/>
              </w:rPr>
            </w:pPr>
            <w:r>
              <w:rPr>
                <w:sz w:val="24"/>
              </w:rPr>
              <w:t>○民族</w:t>
            </w:r>
          </w:p>
        </w:tc>
      </w:tr>
      <w:tr>
        <w:tblPrEx>
          <w:tblW w:w="0" w:type="auto"/>
          <w:jc w:val="center"/>
          <w:tblLayout w:type="fixed"/>
          <w:tblCellMar>
            <w:top w:w="0" w:type="dxa"/>
            <w:left w:w="0" w:type="dxa"/>
            <w:bottom w:w="0" w:type="dxa"/>
            <w:right w:w="0" w:type="dxa"/>
          </w:tblCellMar>
          <w:tblLook w:val="0000"/>
        </w:tblPrEx>
        <w:trPr>
          <w:trHeight w:val="615"/>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ind w:left="97" w:right="88" w:leftChars="0" w:rightChars="0"/>
              <w:jc w:val="center"/>
              <w:rPr>
                <w:rFonts w:ascii="宋体" w:eastAsia="宋体" w:hAnsi="宋体" w:cs="宋体"/>
                <w:sz w:val="24"/>
                <w:szCs w:val="22"/>
                <w:lang w:val="zh-CN" w:eastAsia="zh-CN" w:bidi="zh-CN"/>
              </w:rPr>
            </w:pPr>
            <w:r>
              <w:rPr>
                <w:sz w:val="24"/>
              </w:rPr>
              <w:t>曾用名</w:t>
            </w:r>
          </w:p>
        </w:tc>
        <w:tc>
          <w:tcPr>
            <w:tcW w:w="7599" w:type="dxa"/>
            <w:gridSpan w:val="9"/>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eastAsia"/>
                <w:sz w:val="24"/>
                <w:szCs w:val="22"/>
                <w:lang w:val="en-US" w:eastAsia="zh-CN" w:bidi="zh-CN"/>
              </w:rPr>
            </w:pPr>
            <w:r>
              <w:rPr>
                <w:rFonts w:ascii="Times New Roman" w:hint="eastAsia"/>
                <w:sz w:val="24"/>
              </w:rPr>
              <w:t>保定虎振职业技术学院、保定科技职业学院</w:t>
            </w:r>
          </w:p>
        </w:tc>
      </w:tr>
      <w:tr>
        <w:tblPrEx>
          <w:tblW w:w="0" w:type="auto"/>
          <w:jc w:val="center"/>
          <w:tblLayout w:type="fixed"/>
          <w:tblCellMar>
            <w:top w:w="0" w:type="dxa"/>
            <w:left w:w="0" w:type="dxa"/>
            <w:bottom w:w="0" w:type="dxa"/>
            <w:right w:w="0" w:type="dxa"/>
          </w:tblCellMar>
          <w:tblLook w:val="0000"/>
        </w:tblPrEx>
        <w:trPr>
          <w:trHeight w:val="599"/>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宋体" w:eastAsia="宋体" w:hAnsi="宋体" w:cs="宋体"/>
                <w:sz w:val="24"/>
                <w:szCs w:val="22"/>
                <w:lang w:val="zh-CN" w:eastAsia="zh-CN" w:bidi="zh-CN"/>
              </w:rPr>
            </w:pPr>
            <w:r>
              <w:rPr>
                <w:sz w:val="24"/>
              </w:rPr>
              <w:t>建校时间</w:t>
            </w:r>
          </w:p>
        </w:tc>
        <w:tc>
          <w:tcPr>
            <w:tcW w:w="2235" w:type="dxa"/>
            <w:gridSpan w:val="3"/>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eastAsia"/>
                <w:sz w:val="24"/>
                <w:szCs w:val="22"/>
                <w:lang w:val="en-US" w:eastAsia="zh-CN" w:bidi="zh-CN"/>
              </w:rPr>
            </w:pPr>
            <w:r>
              <w:rPr>
                <w:rFonts w:ascii="Times New Roman" w:hint="eastAsia"/>
                <w:sz w:val="24"/>
              </w:rPr>
              <w:t>1991年</w:t>
            </w:r>
          </w:p>
        </w:tc>
        <w:tc>
          <w:tcPr>
            <w:tcW w:w="3350" w:type="dxa"/>
            <w:gridSpan w:val="4"/>
            <w:tcBorders>
              <w:top w:val="single" w:sz="4" w:space="0" w:color="auto"/>
              <w:left w:val="single" w:sz="4" w:space="0" w:color="auto"/>
              <w:bottom w:val="single" w:sz="4" w:space="0" w:color="auto"/>
              <w:right w:val="single" w:sz="4" w:space="0" w:color="auto"/>
            </w:tcBorders>
            <w:vAlign w:val="center"/>
          </w:tcPr>
          <w:p>
            <w:pPr>
              <w:pStyle w:val="TableParagraph"/>
              <w:spacing w:before="117" w:line="242" w:lineRule="auto"/>
              <w:ind w:left="448" w:right="197" w:hanging="240" w:leftChars="0" w:rightChars="0" w:firstLineChars="0"/>
              <w:jc w:val="center"/>
              <w:rPr>
                <w:rFonts w:ascii="宋体" w:eastAsia="宋体" w:hAnsi="宋体" w:cs="宋体"/>
                <w:sz w:val="24"/>
                <w:szCs w:val="22"/>
                <w:lang w:val="zh-CN" w:eastAsia="zh-CN" w:bidi="zh-CN"/>
              </w:rPr>
            </w:pPr>
            <w:r>
              <w:rPr>
                <w:sz w:val="24"/>
              </w:rPr>
              <w:t>首次举办本科教育年份</w:t>
            </w:r>
          </w:p>
        </w:tc>
        <w:tc>
          <w:tcPr>
            <w:tcW w:w="2014"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eastAsia"/>
                <w:sz w:val="24"/>
                <w:szCs w:val="22"/>
                <w:lang w:val="en-US" w:eastAsia="zh-CN" w:bidi="zh-CN"/>
              </w:rPr>
            </w:pPr>
            <w:r>
              <w:rPr>
                <w:rFonts w:ascii="Times New Roman" w:hint="eastAsia"/>
                <w:sz w:val="24"/>
              </w:rPr>
              <w:t>2011年</w:t>
            </w:r>
          </w:p>
        </w:tc>
      </w:tr>
      <w:tr>
        <w:tblPrEx>
          <w:tblW w:w="0" w:type="auto"/>
          <w:jc w:val="center"/>
          <w:tblLayout w:type="fixed"/>
          <w:tblCellMar>
            <w:top w:w="0" w:type="dxa"/>
            <w:left w:w="0" w:type="dxa"/>
            <w:bottom w:w="0" w:type="dxa"/>
            <w:right w:w="0" w:type="dxa"/>
          </w:tblCellMar>
          <w:tblLook w:val="0000"/>
        </w:tblPrEx>
        <w:trPr>
          <w:trHeight w:val="769"/>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spacing w:line="240" w:lineRule="auto"/>
              <w:ind w:left="0" w:right="0" w:firstLine="0"/>
              <w:jc w:val="center"/>
              <w:rPr>
                <w:rFonts w:eastAsia="宋体" w:hint="eastAsia"/>
                <w:sz w:val="24"/>
                <w:lang w:eastAsia="zh-CN"/>
              </w:rPr>
            </w:pPr>
            <w:r>
              <w:rPr>
                <w:rFonts w:hint="eastAsia"/>
                <w:sz w:val="24"/>
                <w:lang w:eastAsia="zh-CN"/>
              </w:rPr>
              <w:t>通过教育部本科教学评估类型</w:t>
            </w:r>
          </w:p>
        </w:tc>
        <w:tc>
          <w:tcPr>
            <w:tcW w:w="5585" w:type="dxa"/>
            <w:gridSpan w:val="7"/>
            <w:tcBorders>
              <w:top w:val="single" w:sz="4" w:space="0" w:color="auto"/>
              <w:left w:val="single" w:sz="4" w:space="0" w:color="auto"/>
              <w:bottom w:val="single" w:sz="4" w:space="0" w:color="auto"/>
              <w:right w:val="single" w:sz="4" w:space="0" w:color="auto"/>
            </w:tcBorders>
            <w:vAlign w:val="center"/>
          </w:tcPr>
          <w:p>
            <w:pPr>
              <w:pStyle w:val="TableParagraph"/>
              <w:spacing w:before="127" w:line="249" w:lineRule="auto"/>
              <w:ind w:left="674" w:right="191" w:hanging="480"/>
              <w:jc w:val="center"/>
              <w:rPr>
                <w:rFonts w:eastAsia="宋体" w:hint="eastAsia"/>
                <w:sz w:val="24"/>
                <w:lang w:eastAsia="zh-CN"/>
              </w:rPr>
            </w:pPr>
            <w:r>
              <w:rPr>
                <w:rFonts w:hint="eastAsia"/>
                <w:sz w:val="24"/>
                <w:lang w:eastAsia="zh-CN"/>
              </w:rPr>
              <w:t>合格评估</w:t>
            </w:r>
          </w:p>
        </w:tc>
        <w:tc>
          <w:tcPr>
            <w:tcW w:w="590" w:type="dxa"/>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hint="eastAsia"/>
                <w:sz w:val="24"/>
                <w:lang w:val="en-US" w:eastAsia="zh-CN"/>
              </w:rPr>
            </w:pPr>
            <w:r>
              <w:rPr>
                <w:rFonts w:ascii="Times New Roman" w:hint="eastAsia"/>
                <w:sz w:val="24"/>
                <w:lang w:val="en-US" w:eastAsia="zh-CN"/>
              </w:rPr>
              <w:t>通过时间</w:t>
            </w:r>
          </w:p>
        </w:tc>
        <w:tc>
          <w:tcPr>
            <w:tcW w:w="1424" w:type="dxa"/>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hint="default"/>
                <w:sz w:val="24"/>
                <w:lang w:val="en-US" w:eastAsia="zh-CN"/>
              </w:rPr>
            </w:pPr>
            <w:r>
              <w:rPr>
                <w:rFonts w:ascii="Times New Roman" w:hint="eastAsia"/>
                <w:sz w:val="24"/>
                <w:lang w:val="en-US" w:eastAsia="zh-CN"/>
              </w:rPr>
              <w:t>2019年11月</w:t>
            </w:r>
          </w:p>
        </w:tc>
      </w:tr>
      <w:tr>
        <w:tblPrEx>
          <w:tblW w:w="0" w:type="auto"/>
          <w:jc w:val="center"/>
          <w:tblLayout w:type="fixed"/>
          <w:tblCellMar>
            <w:top w:w="0" w:type="dxa"/>
            <w:left w:w="0" w:type="dxa"/>
            <w:bottom w:w="0" w:type="dxa"/>
            <w:right w:w="0" w:type="dxa"/>
          </w:tblCellMar>
          <w:tblLook w:val="0000"/>
        </w:tblPrEx>
        <w:trPr>
          <w:trHeight w:val="859"/>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40" w:line="304" w:lineRule="auto"/>
              <w:ind w:left="688" w:right="437" w:hanging="240"/>
              <w:jc w:val="center"/>
              <w:rPr>
                <w:sz w:val="24"/>
              </w:rPr>
            </w:pPr>
            <w:r>
              <w:rPr>
                <w:sz w:val="24"/>
              </w:rPr>
              <w:t>专任教师总数</w:t>
            </w:r>
          </w:p>
        </w:tc>
        <w:tc>
          <w:tcPr>
            <w:tcW w:w="2235" w:type="dxa"/>
            <w:gridSpan w:val="3"/>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975</w:t>
            </w:r>
          </w:p>
        </w:tc>
        <w:tc>
          <w:tcPr>
            <w:tcW w:w="3350" w:type="dxa"/>
            <w:gridSpan w:val="4"/>
            <w:tcBorders>
              <w:top w:val="single" w:sz="4" w:space="0" w:color="auto"/>
              <w:left w:val="single" w:sz="4" w:space="0" w:color="auto"/>
              <w:bottom w:val="single" w:sz="4" w:space="0" w:color="auto"/>
              <w:right w:val="single" w:sz="4" w:space="0" w:color="auto"/>
            </w:tcBorders>
          </w:tcPr>
          <w:p>
            <w:pPr>
              <w:pStyle w:val="TableParagraph"/>
              <w:spacing w:before="127" w:line="249" w:lineRule="auto"/>
              <w:ind w:left="674" w:right="191" w:hanging="480"/>
              <w:jc w:val="center"/>
              <w:rPr>
                <w:sz w:val="24"/>
              </w:rPr>
            </w:pPr>
            <w:r>
              <w:rPr>
                <w:sz w:val="24"/>
              </w:rPr>
              <w:t>专任教师中副教授及以上职称教师数</w:t>
            </w:r>
          </w:p>
        </w:tc>
        <w:tc>
          <w:tcPr>
            <w:tcW w:w="2014"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324</w:t>
            </w:r>
          </w:p>
        </w:tc>
      </w:tr>
      <w:tr>
        <w:tblPrEx>
          <w:tblW w:w="0" w:type="auto"/>
          <w:jc w:val="center"/>
          <w:tblLayout w:type="fixed"/>
          <w:tblCellMar>
            <w:top w:w="0" w:type="dxa"/>
            <w:left w:w="0" w:type="dxa"/>
            <w:bottom w:w="0" w:type="dxa"/>
            <w:right w:w="0" w:type="dxa"/>
          </w:tblCellMar>
          <w:tblLook w:val="0000"/>
        </w:tblPrEx>
        <w:trPr>
          <w:trHeight w:val="859"/>
          <w:jc w:val="center"/>
        </w:trPr>
        <w:tc>
          <w:tcPr>
            <w:tcW w:w="1981" w:type="dxa"/>
            <w:tcBorders>
              <w:top w:val="single" w:sz="4" w:space="0" w:color="auto"/>
              <w:left w:val="single" w:sz="4" w:space="0" w:color="auto"/>
              <w:bottom w:val="single" w:sz="4" w:space="0" w:color="auto"/>
              <w:right w:val="single" w:sz="4" w:space="0" w:color="auto"/>
            </w:tcBorders>
          </w:tcPr>
          <w:p>
            <w:pPr>
              <w:pStyle w:val="TableParagraph"/>
              <w:spacing w:before="79"/>
              <w:ind w:left="97" w:right="88"/>
              <w:jc w:val="center"/>
              <w:rPr>
                <w:sz w:val="24"/>
              </w:rPr>
            </w:pPr>
            <w:r>
              <w:rPr>
                <w:sz w:val="24"/>
              </w:rPr>
              <w:t>现有本科</w:t>
            </w:r>
          </w:p>
          <w:p>
            <w:pPr>
              <w:pStyle w:val="TableParagraph"/>
              <w:spacing w:before="160"/>
              <w:ind w:left="97" w:right="88" w:leftChars="0" w:rightChars="0"/>
              <w:jc w:val="center"/>
              <w:rPr>
                <w:rFonts w:ascii="宋体" w:eastAsia="宋体" w:hAnsi="宋体" w:cs="宋体"/>
                <w:sz w:val="24"/>
                <w:szCs w:val="22"/>
                <w:lang w:val="zh-CN" w:eastAsia="zh-CN" w:bidi="zh-CN"/>
              </w:rPr>
            </w:pPr>
            <w:r>
              <w:rPr>
                <w:sz w:val="24"/>
              </w:rPr>
              <w:t>专业数</w:t>
            </w:r>
          </w:p>
        </w:tc>
        <w:tc>
          <w:tcPr>
            <w:tcW w:w="2235" w:type="dxa"/>
            <w:gridSpan w:val="3"/>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default"/>
                <w:sz w:val="24"/>
                <w:szCs w:val="22"/>
                <w:lang w:val="en-US" w:eastAsia="zh-CN" w:bidi="zh-CN"/>
              </w:rPr>
            </w:pPr>
            <w:r>
              <w:rPr>
                <w:rFonts w:ascii="Times New Roman" w:cs="宋体" w:hint="eastAsia"/>
                <w:sz w:val="24"/>
                <w:szCs w:val="22"/>
                <w:lang w:val="en-US" w:eastAsia="zh-CN" w:bidi="zh-CN"/>
              </w:rPr>
              <w:t>38</w:t>
            </w:r>
          </w:p>
        </w:tc>
        <w:tc>
          <w:tcPr>
            <w:tcW w:w="3350" w:type="dxa"/>
            <w:gridSpan w:val="4"/>
            <w:tcBorders>
              <w:top w:val="single" w:sz="4" w:space="0" w:color="auto"/>
              <w:left w:val="single" w:sz="4" w:space="0" w:color="auto"/>
              <w:bottom w:val="single" w:sz="4" w:space="0" w:color="auto"/>
              <w:right w:val="single" w:sz="4" w:space="0" w:color="auto"/>
            </w:tcBorders>
          </w:tcPr>
          <w:p>
            <w:pPr>
              <w:pStyle w:val="TableParagraph"/>
              <w:spacing w:before="79"/>
              <w:ind w:left="239" w:right="236"/>
              <w:jc w:val="center"/>
              <w:rPr>
                <w:sz w:val="24"/>
              </w:rPr>
            </w:pPr>
            <w:r>
              <w:rPr>
                <w:sz w:val="24"/>
              </w:rPr>
              <w:t>上一年度全校本科</w:t>
            </w:r>
          </w:p>
          <w:p>
            <w:pPr>
              <w:pStyle w:val="TableParagraph"/>
              <w:spacing w:before="160"/>
              <w:ind w:left="239" w:right="236" w:leftChars="0" w:rightChars="0"/>
              <w:jc w:val="center"/>
              <w:rPr>
                <w:rFonts w:ascii="宋体" w:eastAsia="宋体" w:hAnsi="宋体" w:cs="宋体"/>
                <w:sz w:val="24"/>
                <w:szCs w:val="22"/>
                <w:lang w:val="zh-CN" w:eastAsia="zh-CN" w:bidi="zh-CN"/>
              </w:rPr>
            </w:pPr>
            <w:r>
              <w:rPr>
                <w:sz w:val="24"/>
              </w:rPr>
              <w:t>招生人数</w:t>
            </w:r>
          </w:p>
        </w:tc>
        <w:tc>
          <w:tcPr>
            <w:tcW w:w="2014"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default"/>
                <w:sz w:val="24"/>
                <w:szCs w:val="22"/>
                <w:lang w:val="en-US" w:eastAsia="zh-CN" w:bidi="zh-CN"/>
              </w:rPr>
            </w:pPr>
            <w:r>
              <w:rPr>
                <w:rFonts w:ascii="Times New Roman" w:cs="宋体" w:hint="eastAsia"/>
                <w:sz w:val="24"/>
                <w:szCs w:val="22"/>
                <w:lang w:val="en-US" w:eastAsia="zh-CN" w:bidi="zh-CN"/>
              </w:rPr>
              <w:t>3518</w:t>
            </w:r>
          </w:p>
        </w:tc>
      </w:tr>
      <w:tr>
        <w:tblPrEx>
          <w:tblW w:w="0" w:type="auto"/>
          <w:jc w:val="center"/>
          <w:tblLayout w:type="fixed"/>
          <w:tblCellMar>
            <w:top w:w="0" w:type="dxa"/>
            <w:left w:w="0" w:type="dxa"/>
            <w:bottom w:w="0" w:type="dxa"/>
            <w:right w:w="0" w:type="dxa"/>
          </w:tblCellMar>
          <w:tblLook w:val="0000"/>
        </w:tblPrEx>
        <w:trPr>
          <w:trHeight w:val="715"/>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spacing w:line="240" w:lineRule="auto"/>
              <w:ind w:left="0" w:right="0" w:firstLine="0"/>
              <w:jc w:val="center"/>
              <w:rPr>
                <w:rFonts w:hint="eastAsia"/>
                <w:sz w:val="24"/>
                <w:lang w:eastAsia="zh-CN"/>
              </w:rPr>
            </w:pPr>
            <w:r>
              <w:rPr>
                <w:rFonts w:hint="eastAsia"/>
                <w:sz w:val="24"/>
                <w:lang w:eastAsia="zh-CN"/>
              </w:rPr>
              <w:t>上一年度全校</w:t>
            </w:r>
          </w:p>
          <w:p>
            <w:pPr>
              <w:pStyle w:val="TableParagraph"/>
              <w:spacing w:line="240" w:lineRule="auto"/>
              <w:ind w:left="0" w:right="0" w:firstLine="0"/>
              <w:jc w:val="center"/>
              <w:rPr>
                <w:rFonts w:ascii="宋体" w:eastAsia="宋体" w:hAnsi="宋体" w:cs="宋体"/>
                <w:sz w:val="24"/>
                <w:szCs w:val="22"/>
                <w:lang w:val="zh-CN" w:eastAsia="zh-CN" w:bidi="zh-CN"/>
              </w:rPr>
            </w:pPr>
            <w:r>
              <w:rPr>
                <w:rFonts w:hint="eastAsia"/>
                <w:sz w:val="24"/>
                <w:lang w:eastAsia="zh-CN"/>
              </w:rPr>
              <w:t>本科毕业人数</w:t>
            </w:r>
          </w:p>
        </w:tc>
        <w:tc>
          <w:tcPr>
            <w:tcW w:w="2235" w:type="dxa"/>
            <w:gridSpan w:val="3"/>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default"/>
                <w:sz w:val="24"/>
                <w:szCs w:val="22"/>
                <w:lang w:val="en-US" w:eastAsia="zh-CN" w:bidi="zh-CN"/>
              </w:rPr>
            </w:pPr>
            <w:r>
              <w:rPr>
                <w:rFonts w:ascii="Times New Roman" w:cs="宋体" w:hint="eastAsia"/>
                <w:sz w:val="24"/>
                <w:szCs w:val="22"/>
                <w:lang w:val="en-US" w:eastAsia="zh-CN" w:bidi="zh-CN"/>
              </w:rPr>
              <w:t>2517</w:t>
            </w:r>
          </w:p>
        </w:tc>
        <w:tc>
          <w:tcPr>
            <w:tcW w:w="3350" w:type="dxa"/>
            <w:gridSpan w:val="4"/>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宋体" w:eastAsia="宋体" w:hAnsi="宋体" w:cs="宋体" w:hint="eastAsia"/>
                <w:sz w:val="24"/>
                <w:szCs w:val="22"/>
                <w:lang w:val="zh-CN" w:eastAsia="zh-CN" w:bidi="zh-CN"/>
              </w:rPr>
            </w:pPr>
            <w:r>
              <w:rPr>
                <w:rFonts w:hint="eastAsia"/>
                <w:sz w:val="24"/>
                <w:lang w:eastAsia="zh-CN"/>
              </w:rPr>
              <w:t>近三年本科毕业生平均就业率</w:t>
            </w:r>
          </w:p>
        </w:tc>
        <w:tc>
          <w:tcPr>
            <w:tcW w:w="2014" w:type="dxa"/>
            <w:gridSpan w:val="2"/>
            <w:tcBorders>
              <w:top w:val="single" w:sz="4" w:space="0" w:color="auto"/>
              <w:left w:val="single" w:sz="4" w:space="0" w:color="auto"/>
              <w:bottom w:val="single" w:sz="4" w:space="0" w:color="auto"/>
              <w:right w:val="single" w:sz="4" w:space="0" w:color="auto"/>
            </w:tcBorders>
            <w:vAlign w:val="center"/>
          </w:tcPr>
          <w:p>
            <w:pPr>
              <w:pStyle w:val="TableParagraph"/>
              <w:jc w:val="center"/>
              <w:rPr>
                <w:rFonts w:ascii="Times New Roman" w:eastAsia="宋体" w:hAnsi="宋体" w:cs="宋体" w:hint="default"/>
                <w:sz w:val="24"/>
                <w:szCs w:val="22"/>
                <w:lang w:val="en-US" w:eastAsia="zh-CN" w:bidi="zh-CN"/>
              </w:rPr>
            </w:pPr>
            <w:r>
              <w:rPr>
                <w:rFonts w:ascii="Times New Roman" w:cs="宋体" w:hint="eastAsia"/>
                <w:sz w:val="24"/>
                <w:szCs w:val="22"/>
                <w:lang w:val="en-US" w:eastAsia="zh-CN" w:bidi="zh-CN"/>
              </w:rPr>
              <w:t>95.85%</w:t>
            </w:r>
          </w:p>
        </w:tc>
      </w:tr>
      <w:tr>
        <w:tblPrEx>
          <w:tblW w:w="0" w:type="auto"/>
          <w:jc w:val="center"/>
          <w:tblLayout w:type="fixed"/>
          <w:tblCellMar>
            <w:top w:w="0" w:type="dxa"/>
            <w:left w:w="0" w:type="dxa"/>
            <w:bottom w:w="0" w:type="dxa"/>
            <w:right w:w="0" w:type="dxa"/>
          </w:tblCellMar>
          <w:tblLook w:val="0000"/>
        </w:tblPrEx>
        <w:trPr>
          <w:trHeight w:val="1207"/>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spacing w:line="240" w:lineRule="auto"/>
              <w:ind w:left="0" w:right="0" w:firstLine="0"/>
              <w:jc w:val="center"/>
              <w:rPr>
                <w:rFonts w:hint="eastAsia"/>
                <w:sz w:val="24"/>
                <w:lang w:eastAsia="zh-CN"/>
              </w:rPr>
            </w:pPr>
            <w:r>
              <w:rPr>
                <w:rFonts w:hint="eastAsia"/>
                <w:sz w:val="24"/>
                <w:lang w:eastAsia="zh-CN"/>
              </w:rPr>
              <w:t>学校简要历史沿革</w:t>
            </w:r>
          </w:p>
          <w:p>
            <w:pPr>
              <w:pStyle w:val="TableParagraph"/>
              <w:spacing w:line="240" w:lineRule="auto"/>
              <w:ind w:left="0" w:right="0" w:firstLine="0"/>
              <w:jc w:val="center"/>
              <w:rPr>
                <w:sz w:val="24"/>
              </w:rPr>
            </w:pPr>
            <w:r>
              <w:rPr>
                <w:rFonts w:hint="eastAsia"/>
                <w:sz w:val="24"/>
                <w:lang w:eastAsia="zh-CN"/>
              </w:rPr>
              <w:t>（</w:t>
            </w:r>
            <w:r>
              <w:rPr>
                <w:rFonts w:hint="eastAsia"/>
                <w:sz w:val="24"/>
                <w:lang w:val="en-US" w:eastAsia="zh-CN"/>
              </w:rPr>
              <w:t>150</w:t>
            </w:r>
            <w:r>
              <w:rPr>
                <w:rFonts w:hint="eastAsia"/>
                <w:sz w:val="24"/>
                <w:lang w:eastAsia="zh-CN"/>
              </w:rPr>
              <w:t xml:space="preserve"> 字以内）</w:t>
            </w:r>
          </w:p>
        </w:tc>
        <w:tc>
          <w:tcPr>
            <w:tcW w:w="7599" w:type="dxa"/>
            <w:gridSpan w:val="9"/>
            <w:tcBorders>
              <w:top w:val="single" w:sz="4" w:space="0" w:color="auto"/>
              <w:left w:val="single" w:sz="4" w:space="0" w:color="auto"/>
              <w:bottom w:val="single" w:sz="4" w:space="0" w:color="auto"/>
              <w:right w:val="single" w:sz="4" w:space="0" w:color="auto"/>
            </w:tcBorders>
          </w:tcPr>
          <w:p>
            <w:pPr>
              <w:pStyle w:val="TableParagraph"/>
              <w:spacing w:before="87" w:line="187" w:lineRule="auto"/>
              <w:ind w:left="40" w:right="114" w:firstLine="480" w:firstLineChars="200"/>
              <w:jc w:val="both"/>
              <w:rPr>
                <w:rFonts w:ascii="宋体" w:eastAsia="宋体" w:hAnsi="宋体" w:cs="宋体" w:hint="eastAsia"/>
                <w:sz w:val="24"/>
                <w:szCs w:val="22"/>
                <w:lang w:val="zh-CN" w:eastAsia="zh-CN" w:bidi="zh-CN"/>
              </w:rPr>
            </w:pPr>
            <w:r>
              <w:rPr>
                <w:rFonts w:hint="eastAsia"/>
                <w:sz w:val="24"/>
                <w:lang w:eastAsia="zh-CN"/>
              </w:rPr>
              <w:t>河北科技学院是经教育部批准，由河北省教育厅主管，以工科为主，工、管、经、艺、</w:t>
            </w:r>
            <w:r>
              <w:rPr>
                <w:rFonts w:hint="eastAsia"/>
                <w:sz w:val="24"/>
                <w:lang w:val="en-US" w:eastAsia="zh-CN"/>
              </w:rPr>
              <w:t>医</w:t>
            </w:r>
            <w:r>
              <w:rPr>
                <w:rFonts w:hint="eastAsia"/>
                <w:sz w:val="24"/>
                <w:lang w:eastAsia="zh-CN"/>
              </w:rPr>
              <w:t>、教协调发展的全日制本科院校。学校前身是2003年创办的保定虎振职业技术学院，2006年经河北省人民政府批准更名保定科技职业学院；2011年经教育部批准升格为民办普通本科院校，并更名河北科技学院。</w:t>
            </w:r>
          </w:p>
        </w:tc>
      </w:tr>
      <w:tr>
        <w:tblPrEx>
          <w:tblW w:w="0" w:type="auto"/>
          <w:jc w:val="center"/>
          <w:tblLayout w:type="fixed"/>
          <w:tblCellMar>
            <w:top w:w="0" w:type="dxa"/>
            <w:left w:w="0" w:type="dxa"/>
            <w:bottom w:w="0" w:type="dxa"/>
            <w:right w:w="0" w:type="dxa"/>
          </w:tblCellMar>
          <w:tblLook w:val="0000"/>
        </w:tblPrEx>
        <w:trPr>
          <w:trHeight w:val="1871"/>
          <w:jc w:val="center"/>
        </w:trPr>
        <w:tc>
          <w:tcPr>
            <w:tcW w:w="1981" w:type="dxa"/>
            <w:tcBorders>
              <w:top w:val="single" w:sz="4" w:space="0" w:color="auto"/>
              <w:left w:val="single" w:sz="4" w:space="0" w:color="auto"/>
              <w:bottom w:val="single" w:sz="4" w:space="0" w:color="auto"/>
              <w:right w:val="single" w:sz="4" w:space="0" w:color="auto"/>
            </w:tcBorders>
            <w:vAlign w:val="center"/>
          </w:tcPr>
          <w:p>
            <w:pPr>
              <w:pStyle w:val="TableParagraph"/>
              <w:jc w:val="center"/>
              <w:rPr>
                <w:sz w:val="24"/>
              </w:rPr>
            </w:pPr>
            <w:r>
              <w:rPr>
                <w:sz w:val="24"/>
              </w:rPr>
              <w:t>学校近五年专业增设、停招、撤并情况（300字以内）</w:t>
            </w:r>
          </w:p>
        </w:tc>
        <w:tc>
          <w:tcPr>
            <w:tcW w:w="7599" w:type="dxa"/>
            <w:gridSpan w:val="9"/>
            <w:tcBorders>
              <w:top w:val="single" w:sz="4" w:space="0" w:color="auto"/>
              <w:left w:val="single" w:sz="4" w:space="0" w:color="auto"/>
              <w:bottom w:val="single" w:sz="4" w:space="0" w:color="auto"/>
              <w:right w:val="single" w:sz="4" w:space="0" w:color="auto"/>
            </w:tcBorders>
            <w:vAlign w:val="center"/>
          </w:tcPr>
          <w:p>
            <w:pPr>
              <w:pStyle w:val="TableParagraph"/>
              <w:ind w:firstLine="480" w:firstLineChars="200"/>
              <w:rPr>
                <w:rFonts w:ascii="宋体" w:eastAsia="宋体" w:hAnsi="宋体" w:hint="default"/>
                <w:sz w:val="24"/>
                <w:szCs w:val="24"/>
                <w:lang w:val="en-US" w:eastAsia="zh-CN"/>
              </w:rPr>
            </w:pPr>
            <w:r>
              <w:rPr>
                <w:rFonts w:ascii="宋体" w:hAnsi="宋体" w:hint="eastAsia"/>
                <w:sz w:val="24"/>
                <w:szCs w:val="24"/>
              </w:rPr>
              <w:t>学校近五年增设专业：2016年新增软件工程、视觉传达设计、舞蹈表演</w:t>
            </w:r>
            <w:r>
              <w:rPr>
                <w:rFonts w:ascii="宋体" w:hAnsi="宋体" w:hint="eastAsia"/>
                <w:sz w:val="24"/>
                <w:szCs w:val="24"/>
                <w:lang w:eastAsia="zh-CN"/>
              </w:rPr>
              <w:t>、</w:t>
            </w:r>
            <w:r>
              <w:rPr>
                <w:rFonts w:ascii="宋体" w:hAnsi="宋体" w:hint="eastAsia"/>
                <w:sz w:val="24"/>
                <w:szCs w:val="24"/>
                <w:lang w:val="en-US" w:eastAsia="zh-CN"/>
              </w:rPr>
              <w:t>工程造价</w:t>
            </w:r>
            <w:r>
              <w:rPr>
                <w:rFonts w:ascii="宋体" w:hAnsi="宋体" w:hint="eastAsia"/>
                <w:sz w:val="24"/>
                <w:szCs w:val="24"/>
              </w:rPr>
              <w:t>； 2017年新增经济学；2018年新增学前教育、小学教育、护理学、助产学；2019年新增康复治疗学、健康服务与管理、审计学、舞蹈编导</w:t>
            </w:r>
            <w:r>
              <w:rPr>
                <w:rFonts w:ascii="宋体" w:hAnsi="宋体" w:hint="eastAsia"/>
                <w:sz w:val="24"/>
                <w:szCs w:val="24"/>
                <w:lang w:eastAsia="zh-CN"/>
              </w:rPr>
              <w:t>；</w:t>
            </w:r>
            <w:r>
              <w:rPr>
                <w:rFonts w:ascii="宋体" w:hAnsi="宋体" w:hint="eastAsia"/>
                <w:sz w:val="24"/>
                <w:szCs w:val="24"/>
                <w:lang w:val="en-US" w:eastAsia="zh-CN"/>
              </w:rPr>
              <w:t>2020年新增新能源汽车工程、数据科学与大数据技术</w:t>
            </w:r>
            <w:r>
              <w:rPr>
                <w:rFonts w:ascii="宋体" w:hAnsi="宋体" w:hint="eastAsia"/>
                <w:sz w:val="24"/>
                <w:szCs w:val="24"/>
                <w:lang w:eastAsia="zh-CN"/>
              </w:rPr>
              <w:t>。</w:t>
            </w:r>
          </w:p>
          <w:p>
            <w:pPr>
              <w:pStyle w:val="TableParagraph"/>
              <w:ind w:firstLine="480" w:firstLineChars="200"/>
              <w:rPr>
                <w:rFonts w:ascii="宋体" w:hAnsi="宋体"/>
                <w:sz w:val="24"/>
                <w:szCs w:val="24"/>
              </w:rPr>
            </w:pPr>
            <w:r>
              <w:rPr>
                <w:rFonts w:ascii="宋体" w:hAnsi="宋体" w:hint="eastAsia"/>
                <w:sz w:val="24"/>
                <w:szCs w:val="24"/>
              </w:rPr>
              <w:t>学校近五年停招专业：2016年暂停建筑电气与智能化、工业设计；2017年暂停建筑电气与智能化、工业设计、风景园林；2018年暂停建筑电气与智能化、工业设计、风景园林；2019年暂停建筑电气与智能化</w:t>
            </w:r>
            <w:r>
              <w:rPr>
                <w:rFonts w:ascii="宋体" w:hAnsi="宋体" w:hint="eastAsia"/>
                <w:sz w:val="24"/>
                <w:szCs w:val="24"/>
                <w:lang w:eastAsia="zh-CN"/>
              </w:rPr>
              <w:t>；</w:t>
            </w:r>
            <w:r>
              <w:rPr>
                <w:rFonts w:ascii="宋体" w:hAnsi="宋体" w:hint="eastAsia"/>
                <w:sz w:val="24"/>
                <w:szCs w:val="24"/>
                <w:lang w:val="en-US" w:eastAsia="zh-CN"/>
              </w:rPr>
              <w:t>2020年暂停建筑电气与智能化、自动化、机械电子工程、投资学</w:t>
            </w:r>
            <w:r>
              <w:rPr>
                <w:rFonts w:ascii="宋体" w:hAnsi="宋体" w:hint="eastAsia"/>
                <w:sz w:val="24"/>
                <w:szCs w:val="24"/>
              </w:rPr>
              <w:t>。</w:t>
            </w:r>
          </w:p>
          <w:p>
            <w:pPr>
              <w:pStyle w:val="TableParagraph"/>
              <w:ind w:firstLine="480" w:firstLineChars="200"/>
              <w:jc w:val="both"/>
              <w:rPr>
                <w:sz w:val="24"/>
              </w:rPr>
            </w:pPr>
            <w:r>
              <w:rPr>
                <w:rFonts w:ascii="宋体" w:hAnsi="宋体" w:hint="eastAsia"/>
                <w:sz w:val="24"/>
                <w:szCs w:val="24"/>
              </w:rPr>
              <w:t>学校近五年没有撤销专业。</w:t>
            </w:r>
          </w:p>
        </w:tc>
      </w:tr>
    </w:tbl>
    <w:p>
      <w:pPr>
        <w:jc w:val="center"/>
        <w:rPr>
          <w:rFonts w:ascii="Times New Roman"/>
          <w:sz w:val="24"/>
        </w:rPr>
        <w:sectPr>
          <w:type w:val="nextPage"/>
          <w:pgSz w:w="11911" w:h="16838" w:orient="portrait"/>
          <w:pgMar w:top="1417" w:right="850" w:bottom="1417" w:left="850" w:header="720" w:footer="720" w:gutter="0"/>
          <w:paperSrc w:first="0" w:other="0"/>
          <w:cols w:space="708"/>
          <w:titlePg w:val="0"/>
          <w:rtlGutter w:val="0"/>
          <w:docGrid w:linePitch="1" w:charSpace="0"/>
        </w:sectPr>
      </w:pPr>
    </w:p>
    <w:p>
      <w:pPr>
        <w:pStyle w:val="ListParagraph"/>
        <w:numPr>
          <w:ilvl w:val="0"/>
          <w:numId w:val="0"/>
        </w:numPr>
        <w:tabs>
          <w:tab w:val="left" w:pos="3636"/>
        </w:tabs>
        <w:ind w:left="-1" w:right="254" w:leftChars="0" w:rightChars="0"/>
        <w:jc w:val="center"/>
        <w:rPr>
          <w:rFonts w:ascii="黑体" w:eastAsia="黑体" w:hint="eastAsia"/>
          <w:sz w:val="36"/>
        </w:rPr>
      </w:pPr>
      <w:r>
        <w:rPr>
          <w:rFonts w:ascii="黑体" w:eastAsia="黑体" w:hint="eastAsia"/>
          <w:sz w:val="36"/>
          <w:lang w:val="en-US" w:eastAsia="zh-CN"/>
        </w:rPr>
        <w:t>2.</w:t>
      </w:r>
      <w:r>
        <w:rPr>
          <w:rFonts w:ascii="黑体" w:eastAsia="黑体" w:hint="eastAsia"/>
          <w:sz w:val="36"/>
        </w:rPr>
        <w:t>申报专业基本情况</w:t>
      </w:r>
    </w:p>
    <w:p>
      <w:pPr>
        <w:pStyle w:val="BodyText"/>
        <w:spacing w:before="4"/>
        <w:jc w:val="center"/>
        <w:rPr>
          <w:sz w:val="6"/>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2393"/>
        <w:gridCol w:w="2696"/>
        <w:gridCol w:w="1850"/>
        <w:gridCol w:w="235"/>
        <w:gridCol w:w="2394"/>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318"/>
          <w:jc w:val="center"/>
        </w:trPr>
        <w:tc>
          <w:tcPr>
            <w:tcW w:w="2393" w:type="dxa"/>
          </w:tcPr>
          <w:p>
            <w:pPr>
              <w:pStyle w:val="TableParagraph"/>
              <w:spacing w:before="16" w:line="282" w:lineRule="exact"/>
              <w:ind w:left="94" w:right="88"/>
              <w:jc w:val="center"/>
              <w:rPr>
                <w:rFonts w:eastAsia="宋体" w:hint="eastAsia"/>
                <w:sz w:val="24"/>
                <w:lang w:eastAsia="zh-CN"/>
              </w:rPr>
            </w:pPr>
            <w:r>
              <w:rPr>
                <w:rFonts w:hint="eastAsia"/>
                <w:sz w:val="24"/>
                <w:lang w:eastAsia="zh-CN"/>
              </w:rPr>
              <w:t>申报类型</w:t>
            </w:r>
          </w:p>
        </w:tc>
        <w:tc>
          <w:tcPr>
            <w:tcW w:w="7175" w:type="dxa"/>
            <w:gridSpan w:val="4"/>
          </w:tcPr>
          <w:p>
            <w:pPr>
              <w:pStyle w:val="TableParagraph"/>
              <w:jc w:val="center"/>
              <w:rPr>
                <w:rFonts w:ascii="Times New Roman" w:hint="eastAsia"/>
                <w:sz w:val="24"/>
                <w:lang w:eastAsia="zh-CN"/>
              </w:rPr>
            </w:pPr>
            <w:r>
              <w:rPr>
                <w:rFonts w:ascii="Times New Roman" w:hint="eastAsia"/>
                <w:sz w:val="24"/>
                <w:lang w:eastAsia="zh-CN"/>
              </w:rPr>
              <w:t>新增备案专业</w:t>
            </w:r>
          </w:p>
        </w:tc>
      </w:tr>
      <w:tr>
        <w:tblPrEx>
          <w:tblW w:w="0" w:type="auto"/>
          <w:jc w:val="center"/>
          <w:tblLayout w:type="fixed"/>
          <w:tblCellMar>
            <w:top w:w="0" w:type="dxa"/>
            <w:left w:w="0" w:type="dxa"/>
            <w:bottom w:w="0" w:type="dxa"/>
            <w:right w:w="0" w:type="dxa"/>
          </w:tblCellMar>
          <w:tblLook w:val="0000"/>
        </w:tblPrEx>
        <w:trPr>
          <w:trHeight w:val="318"/>
          <w:jc w:val="center"/>
        </w:trPr>
        <w:tc>
          <w:tcPr>
            <w:tcW w:w="2393" w:type="dxa"/>
            <w:vAlign w:val="center"/>
          </w:tcPr>
          <w:p>
            <w:pPr>
              <w:pStyle w:val="TableParagraph"/>
              <w:spacing w:before="16" w:line="282" w:lineRule="exact"/>
              <w:ind w:left="94" w:right="88"/>
              <w:jc w:val="center"/>
              <w:rPr>
                <w:sz w:val="24"/>
              </w:rPr>
            </w:pPr>
            <w:r>
              <w:rPr>
                <w:sz w:val="24"/>
              </w:rPr>
              <w:t>专业代码</w:t>
            </w:r>
          </w:p>
        </w:tc>
        <w:tc>
          <w:tcPr>
            <w:tcW w:w="2696"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130301</w:t>
            </w:r>
          </w:p>
        </w:tc>
        <w:tc>
          <w:tcPr>
            <w:tcW w:w="2085" w:type="dxa"/>
            <w:gridSpan w:val="2"/>
            <w:vAlign w:val="center"/>
          </w:tcPr>
          <w:p>
            <w:pPr>
              <w:pStyle w:val="TableParagraph"/>
              <w:spacing w:before="16" w:line="282" w:lineRule="exact"/>
              <w:jc w:val="center"/>
              <w:rPr>
                <w:sz w:val="24"/>
              </w:rPr>
            </w:pPr>
            <w:r>
              <w:rPr>
                <w:sz w:val="24"/>
              </w:rPr>
              <w:t>专业名称</w:t>
            </w:r>
          </w:p>
        </w:tc>
        <w:tc>
          <w:tcPr>
            <w:tcW w:w="2394" w:type="dxa"/>
          </w:tcPr>
          <w:p>
            <w:pPr>
              <w:pStyle w:val="TableParagraph"/>
              <w:jc w:val="center"/>
              <w:rPr>
                <w:rFonts w:ascii="Times New Roman" w:eastAsia="宋体" w:hint="default"/>
                <w:sz w:val="24"/>
                <w:lang w:val="en-US" w:eastAsia="zh-CN"/>
              </w:rPr>
            </w:pPr>
            <w:r>
              <w:rPr>
                <w:rFonts w:ascii="Times New Roman" w:hint="eastAsia"/>
                <w:sz w:val="24"/>
                <w:lang w:val="en-US" w:eastAsia="zh-CN"/>
              </w:rPr>
              <w:t>表演</w:t>
            </w:r>
          </w:p>
        </w:tc>
      </w:tr>
      <w:tr>
        <w:tblPrEx>
          <w:tblW w:w="0" w:type="auto"/>
          <w:jc w:val="center"/>
          <w:tblLayout w:type="fixed"/>
          <w:tblCellMar>
            <w:top w:w="0" w:type="dxa"/>
            <w:left w:w="0" w:type="dxa"/>
            <w:bottom w:w="0" w:type="dxa"/>
            <w:right w:w="0" w:type="dxa"/>
          </w:tblCellMar>
          <w:tblLook w:val="0000"/>
        </w:tblPrEx>
        <w:trPr>
          <w:trHeight w:val="321"/>
          <w:jc w:val="center"/>
        </w:trPr>
        <w:tc>
          <w:tcPr>
            <w:tcW w:w="2393" w:type="dxa"/>
          </w:tcPr>
          <w:p>
            <w:pPr>
              <w:pStyle w:val="TableParagraph"/>
              <w:spacing w:before="16" w:line="285" w:lineRule="exact"/>
              <w:ind w:left="94" w:right="88"/>
              <w:jc w:val="center"/>
              <w:rPr>
                <w:rFonts w:eastAsia="宋体" w:hint="eastAsia"/>
                <w:sz w:val="24"/>
                <w:lang w:eastAsia="zh-CN"/>
              </w:rPr>
            </w:pPr>
            <w:r>
              <w:rPr>
                <w:sz w:val="24"/>
              </w:rPr>
              <w:t>学位</w:t>
            </w:r>
            <w:r>
              <w:rPr>
                <w:rFonts w:hint="eastAsia"/>
                <w:sz w:val="24"/>
                <w:lang w:eastAsia="zh-CN"/>
              </w:rPr>
              <w:t>授予门类</w:t>
            </w:r>
          </w:p>
        </w:tc>
        <w:tc>
          <w:tcPr>
            <w:tcW w:w="2696" w:type="dxa"/>
          </w:tcPr>
          <w:p>
            <w:pPr>
              <w:pStyle w:val="TableParagraph"/>
              <w:jc w:val="center"/>
              <w:rPr>
                <w:rFonts w:ascii="Times New Roman" w:eastAsia="宋体" w:hint="eastAsia"/>
                <w:sz w:val="24"/>
                <w:lang w:eastAsia="zh-CN"/>
              </w:rPr>
            </w:pPr>
            <w:r>
              <w:rPr>
                <w:rFonts w:ascii="Times New Roman" w:hint="eastAsia"/>
                <w:sz w:val="24"/>
                <w:lang w:eastAsia="zh-CN"/>
              </w:rPr>
              <w:t>艺术学学士</w:t>
            </w:r>
          </w:p>
        </w:tc>
        <w:tc>
          <w:tcPr>
            <w:tcW w:w="2085" w:type="dxa"/>
            <w:gridSpan w:val="2"/>
          </w:tcPr>
          <w:p>
            <w:pPr>
              <w:pStyle w:val="TableParagraph"/>
              <w:spacing w:before="16" w:line="285" w:lineRule="exact"/>
              <w:jc w:val="center"/>
              <w:rPr>
                <w:sz w:val="24"/>
              </w:rPr>
            </w:pPr>
            <w:r>
              <w:rPr>
                <w:sz w:val="24"/>
              </w:rPr>
              <w:t>修业年限</w:t>
            </w:r>
          </w:p>
        </w:tc>
        <w:tc>
          <w:tcPr>
            <w:tcW w:w="2394" w:type="dxa"/>
          </w:tcPr>
          <w:p>
            <w:pPr>
              <w:pStyle w:val="TableParagraph"/>
              <w:jc w:val="center"/>
              <w:rPr>
                <w:rFonts w:ascii="Times New Roman" w:eastAsia="宋体" w:hint="eastAsia"/>
                <w:sz w:val="24"/>
                <w:lang w:val="en-US" w:eastAsia="zh-CN"/>
              </w:rPr>
            </w:pPr>
            <w:r>
              <w:rPr>
                <w:rFonts w:ascii="Times New Roman" w:hint="eastAsia"/>
                <w:sz w:val="24"/>
                <w:lang w:val="en-US" w:eastAsia="zh-CN"/>
              </w:rPr>
              <w:t>四</w:t>
            </w:r>
          </w:p>
        </w:tc>
      </w:tr>
      <w:tr>
        <w:tblPrEx>
          <w:tblW w:w="0" w:type="auto"/>
          <w:jc w:val="center"/>
          <w:tblLayout w:type="fixed"/>
          <w:tblCellMar>
            <w:top w:w="0" w:type="dxa"/>
            <w:left w:w="0" w:type="dxa"/>
            <w:bottom w:w="0" w:type="dxa"/>
            <w:right w:w="0" w:type="dxa"/>
          </w:tblCellMar>
          <w:tblLook w:val="0000"/>
        </w:tblPrEx>
        <w:trPr>
          <w:trHeight w:val="318"/>
          <w:jc w:val="center"/>
        </w:trPr>
        <w:tc>
          <w:tcPr>
            <w:tcW w:w="2393" w:type="dxa"/>
          </w:tcPr>
          <w:p>
            <w:pPr>
              <w:pStyle w:val="TableParagraph"/>
              <w:spacing w:before="16" w:line="282" w:lineRule="exact"/>
              <w:ind w:left="94" w:right="88"/>
              <w:jc w:val="center"/>
              <w:rPr>
                <w:sz w:val="24"/>
              </w:rPr>
            </w:pPr>
            <w:r>
              <w:rPr>
                <w:sz w:val="24"/>
              </w:rPr>
              <w:t>专业类</w:t>
            </w:r>
          </w:p>
        </w:tc>
        <w:tc>
          <w:tcPr>
            <w:tcW w:w="2696" w:type="dxa"/>
          </w:tcPr>
          <w:p>
            <w:pPr>
              <w:pStyle w:val="TableParagraph"/>
              <w:jc w:val="center"/>
              <w:rPr>
                <w:rFonts w:ascii="Times New Roman" w:eastAsia="宋体" w:hint="eastAsia"/>
                <w:sz w:val="24"/>
                <w:lang w:eastAsia="zh-CN"/>
              </w:rPr>
            </w:pPr>
            <w:r>
              <w:rPr>
                <w:rFonts w:ascii="Times New Roman" w:hint="eastAsia"/>
                <w:sz w:val="24"/>
                <w:lang w:eastAsia="zh-CN"/>
              </w:rPr>
              <w:t>戏剧与影视学类</w:t>
            </w:r>
          </w:p>
        </w:tc>
        <w:tc>
          <w:tcPr>
            <w:tcW w:w="2085" w:type="dxa"/>
            <w:gridSpan w:val="2"/>
          </w:tcPr>
          <w:p>
            <w:pPr>
              <w:pStyle w:val="TableParagraph"/>
              <w:spacing w:before="16" w:line="282" w:lineRule="exact"/>
              <w:jc w:val="center"/>
              <w:rPr>
                <w:sz w:val="24"/>
              </w:rPr>
            </w:pPr>
            <w:r>
              <w:rPr>
                <w:sz w:val="24"/>
              </w:rPr>
              <w:t>专业类代码</w:t>
            </w:r>
          </w:p>
        </w:tc>
        <w:tc>
          <w:tcPr>
            <w:tcW w:w="2394" w:type="dxa"/>
          </w:tcPr>
          <w:p>
            <w:pPr>
              <w:pStyle w:val="TableParagraph"/>
              <w:jc w:val="center"/>
              <w:rPr>
                <w:rFonts w:ascii="Times New Roman" w:eastAsia="宋体" w:hint="default"/>
                <w:sz w:val="24"/>
                <w:lang w:val="en-US" w:eastAsia="zh-CN"/>
              </w:rPr>
            </w:pPr>
            <w:r>
              <w:rPr>
                <w:rFonts w:ascii="Times New Roman" w:hint="eastAsia"/>
                <w:sz w:val="24"/>
                <w:lang w:val="en-US" w:eastAsia="zh-CN"/>
              </w:rPr>
              <w:t>1303</w:t>
            </w:r>
          </w:p>
        </w:tc>
      </w:tr>
      <w:tr>
        <w:tblPrEx>
          <w:tblW w:w="0" w:type="auto"/>
          <w:jc w:val="center"/>
          <w:tblLayout w:type="fixed"/>
          <w:tblCellMar>
            <w:top w:w="0" w:type="dxa"/>
            <w:left w:w="0" w:type="dxa"/>
            <w:bottom w:w="0" w:type="dxa"/>
            <w:right w:w="0" w:type="dxa"/>
          </w:tblCellMar>
          <w:tblLook w:val="0000"/>
        </w:tblPrEx>
        <w:trPr>
          <w:trHeight w:val="321"/>
          <w:jc w:val="center"/>
        </w:trPr>
        <w:tc>
          <w:tcPr>
            <w:tcW w:w="2393" w:type="dxa"/>
          </w:tcPr>
          <w:p>
            <w:pPr>
              <w:pStyle w:val="TableParagraph"/>
              <w:spacing w:before="16" w:line="285" w:lineRule="exact"/>
              <w:ind w:left="94" w:right="88"/>
              <w:jc w:val="center"/>
              <w:rPr>
                <w:sz w:val="24"/>
              </w:rPr>
            </w:pPr>
            <w:r>
              <w:rPr>
                <w:sz w:val="24"/>
              </w:rPr>
              <w:t>门类</w:t>
            </w:r>
          </w:p>
        </w:tc>
        <w:tc>
          <w:tcPr>
            <w:tcW w:w="2696" w:type="dxa"/>
          </w:tcPr>
          <w:p>
            <w:pPr>
              <w:pStyle w:val="TableParagraph"/>
              <w:jc w:val="center"/>
              <w:rPr>
                <w:rFonts w:ascii="Times New Roman" w:eastAsia="宋体" w:hint="eastAsia"/>
                <w:sz w:val="24"/>
                <w:lang w:eastAsia="zh-CN"/>
              </w:rPr>
            </w:pPr>
            <w:r>
              <w:rPr>
                <w:rFonts w:ascii="Times New Roman" w:hint="eastAsia"/>
                <w:sz w:val="24"/>
                <w:lang w:eastAsia="zh-CN"/>
              </w:rPr>
              <w:t>艺术学</w:t>
            </w:r>
          </w:p>
        </w:tc>
        <w:tc>
          <w:tcPr>
            <w:tcW w:w="2085" w:type="dxa"/>
            <w:gridSpan w:val="2"/>
          </w:tcPr>
          <w:p>
            <w:pPr>
              <w:pStyle w:val="TableParagraph"/>
              <w:spacing w:before="16" w:line="285" w:lineRule="exact"/>
              <w:jc w:val="center"/>
              <w:rPr>
                <w:sz w:val="24"/>
              </w:rPr>
            </w:pPr>
            <w:r>
              <w:rPr>
                <w:sz w:val="24"/>
              </w:rPr>
              <w:t>门类代码</w:t>
            </w:r>
          </w:p>
        </w:tc>
        <w:tc>
          <w:tcPr>
            <w:tcW w:w="2394" w:type="dxa"/>
          </w:tcPr>
          <w:p>
            <w:pPr>
              <w:pStyle w:val="TableParagraph"/>
              <w:jc w:val="center"/>
              <w:rPr>
                <w:rFonts w:ascii="Times New Roman" w:eastAsia="宋体" w:hint="default"/>
                <w:sz w:val="24"/>
                <w:lang w:val="en-US" w:eastAsia="zh-CN"/>
              </w:rPr>
            </w:pPr>
            <w:r>
              <w:rPr>
                <w:rFonts w:ascii="Times New Roman" w:hint="eastAsia"/>
                <w:sz w:val="24"/>
                <w:lang w:val="en-US" w:eastAsia="zh-CN"/>
              </w:rPr>
              <w:t>13</w:t>
            </w:r>
          </w:p>
        </w:tc>
      </w:tr>
      <w:tr>
        <w:tblPrEx>
          <w:tblW w:w="0" w:type="auto"/>
          <w:jc w:val="center"/>
          <w:tblLayout w:type="fixed"/>
          <w:tblCellMar>
            <w:top w:w="0" w:type="dxa"/>
            <w:left w:w="0" w:type="dxa"/>
            <w:bottom w:w="0" w:type="dxa"/>
            <w:right w:w="0" w:type="dxa"/>
          </w:tblCellMar>
          <w:tblLook w:val="0000"/>
        </w:tblPrEx>
        <w:trPr>
          <w:trHeight w:val="318"/>
          <w:jc w:val="center"/>
        </w:trPr>
        <w:tc>
          <w:tcPr>
            <w:tcW w:w="2393" w:type="dxa"/>
          </w:tcPr>
          <w:p>
            <w:pPr>
              <w:pStyle w:val="TableParagraph"/>
              <w:spacing w:before="16" w:line="282" w:lineRule="exact"/>
              <w:ind w:left="95" w:right="88"/>
              <w:jc w:val="center"/>
              <w:rPr>
                <w:sz w:val="24"/>
              </w:rPr>
            </w:pPr>
            <w:r>
              <w:rPr>
                <w:sz w:val="24"/>
              </w:rPr>
              <w:t>所在院系名称</w:t>
            </w:r>
          </w:p>
        </w:tc>
        <w:tc>
          <w:tcPr>
            <w:tcW w:w="7175" w:type="dxa"/>
            <w:gridSpan w:val="4"/>
          </w:tcPr>
          <w:p>
            <w:pPr>
              <w:pStyle w:val="TableParagraph"/>
              <w:jc w:val="center"/>
              <w:rPr>
                <w:rFonts w:ascii="Times New Roman" w:eastAsia="宋体" w:hint="eastAsia"/>
                <w:sz w:val="24"/>
                <w:lang w:eastAsia="zh-CN"/>
              </w:rPr>
            </w:pPr>
            <w:r>
              <w:rPr>
                <w:rFonts w:ascii="Times New Roman" w:hint="eastAsia"/>
                <w:sz w:val="24"/>
                <w:lang w:eastAsia="zh-CN"/>
              </w:rPr>
              <w:t>艺术学院</w:t>
            </w:r>
          </w:p>
        </w:tc>
      </w:tr>
      <w:tr>
        <w:tblPrEx>
          <w:tblW w:w="0" w:type="auto"/>
          <w:jc w:val="center"/>
          <w:tblLayout w:type="fixed"/>
          <w:tblCellMar>
            <w:top w:w="0" w:type="dxa"/>
            <w:left w:w="0" w:type="dxa"/>
            <w:bottom w:w="0" w:type="dxa"/>
            <w:right w:w="0" w:type="dxa"/>
          </w:tblCellMar>
          <w:tblLook w:val="0000"/>
        </w:tblPrEx>
        <w:trPr>
          <w:trHeight w:val="321"/>
          <w:jc w:val="center"/>
        </w:trPr>
        <w:tc>
          <w:tcPr>
            <w:tcW w:w="9568" w:type="dxa"/>
            <w:gridSpan w:val="5"/>
          </w:tcPr>
          <w:p>
            <w:pPr>
              <w:pStyle w:val="TableParagraph"/>
              <w:spacing w:before="16" w:line="285" w:lineRule="exact"/>
              <w:ind w:left="3803" w:right="3794"/>
              <w:jc w:val="center"/>
              <w:rPr>
                <w:sz w:val="24"/>
              </w:rPr>
            </w:pPr>
            <w:r>
              <w:rPr>
                <w:sz w:val="24"/>
              </w:rPr>
              <w:t>学校相近专业情况</w:t>
            </w:r>
          </w:p>
        </w:tc>
      </w:tr>
      <w:tr>
        <w:tblPrEx>
          <w:tblW w:w="0" w:type="auto"/>
          <w:jc w:val="center"/>
          <w:tblLayout w:type="fixed"/>
          <w:tblCellMar>
            <w:top w:w="0" w:type="dxa"/>
            <w:left w:w="0" w:type="dxa"/>
            <w:bottom w:w="0" w:type="dxa"/>
            <w:right w:w="0" w:type="dxa"/>
          </w:tblCellMar>
          <w:tblLook w:val="0000"/>
        </w:tblPrEx>
        <w:trPr>
          <w:trHeight w:val="481"/>
          <w:jc w:val="center"/>
        </w:trPr>
        <w:tc>
          <w:tcPr>
            <w:tcW w:w="2393" w:type="dxa"/>
          </w:tcPr>
          <w:p>
            <w:pPr>
              <w:pStyle w:val="TableParagraph"/>
              <w:spacing w:before="175"/>
              <w:ind w:left="95" w:right="86"/>
              <w:jc w:val="center"/>
              <w:rPr>
                <w:rFonts w:ascii="Times New Roman" w:eastAsia="宋体" w:hint="eastAsia"/>
                <w:color w:val="auto"/>
                <w:sz w:val="24"/>
                <w:lang w:val="en-US" w:eastAsia="zh-CN"/>
              </w:rPr>
            </w:pPr>
            <w:r>
              <w:rPr>
                <w:color w:val="auto"/>
                <w:sz w:val="24"/>
              </w:rPr>
              <w:t>相近专业</w:t>
            </w:r>
            <w:r>
              <w:rPr>
                <w:rFonts w:hint="eastAsia"/>
                <w:color w:val="auto"/>
                <w:sz w:val="24"/>
                <w:lang w:val="en-US" w:eastAsia="zh-CN"/>
              </w:rPr>
              <w:t>1专业名称</w:t>
            </w:r>
          </w:p>
        </w:tc>
        <w:tc>
          <w:tcPr>
            <w:tcW w:w="2696" w:type="dxa"/>
          </w:tcPr>
          <w:p>
            <w:pPr>
              <w:pStyle w:val="TableParagraph"/>
              <w:spacing w:before="175"/>
              <w:ind w:left="212" w:right="207"/>
              <w:jc w:val="center"/>
              <w:rPr>
                <w:rFonts w:eastAsia="宋体" w:hint="eastAsia"/>
                <w:color w:val="auto"/>
                <w:sz w:val="24"/>
                <w:lang w:eastAsia="zh-CN"/>
              </w:rPr>
            </w:pPr>
            <w:r>
              <w:rPr>
                <w:rFonts w:hint="eastAsia"/>
                <w:color w:val="auto"/>
                <w:sz w:val="24"/>
                <w:lang w:eastAsia="zh-CN"/>
              </w:rPr>
              <w:t>播音与主持艺术</w:t>
            </w:r>
          </w:p>
        </w:tc>
        <w:tc>
          <w:tcPr>
            <w:tcW w:w="1850" w:type="dxa"/>
            <w:vAlign w:val="center"/>
          </w:tcPr>
          <w:p>
            <w:pPr>
              <w:pStyle w:val="TableParagraph"/>
              <w:ind w:right="0"/>
              <w:jc w:val="center"/>
              <w:rPr>
                <w:rFonts w:eastAsia="宋体" w:hint="eastAsia"/>
                <w:color w:val="auto"/>
                <w:sz w:val="24"/>
                <w:lang w:val="en-US" w:eastAsia="zh-CN"/>
              </w:rPr>
            </w:pPr>
            <w:r>
              <w:rPr>
                <w:rFonts w:hint="eastAsia"/>
                <w:color w:val="auto"/>
                <w:sz w:val="24"/>
                <w:lang w:val="en-US" w:eastAsia="zh-CN"/>
              </w:rPr>
              <w:t>开设年份</w:t>
            </w:r>
          </w:p>
        </w:tc>
        <w:tc>
          <w:tcPr>
            <w:tcW w:w="2629" w:type="dxa"/>
            <w:gridSpan w:val="2"/>
            <w:vAlign w:val="center"/>
          </w:tcPr>
          <w:p>
            <w:pPr>
              <w:pStyle w:val="TableParagraph"/>
              <w:spacing w:line="240" w:lineRule="auto"/>
              <w:ind w:left="0" w:right="0"/>
              <w:jc w:val="center"/>
              <w:rPr>
                <w:rFonts w:eastAsia="宋体" w:hint="default"/>
                <w:color w:val="auto"/>
                <w:sz w:val="24"/>
                <w:lang w:val="en-US" w:eastAsia="zh-CN"/>
              </w:rPr>
            </w:pPr>
            <w:r>
              <w:rPr>
                <w:rFonts w:hint="eastAsia"/>
                <w:color w:val="auto"/>
                <w:sz w:val="24"/>
                <w:lang w:val="en-US" w:eastAsia="zh-CN"/>
              </w:rPr>
              <w:t>2015年</w:t>
            </w:r>
          </w:p>
        </w:tc>
      </w:tr>
      <w:tr>
        <w:tblPrEx>
          <w:tblW w:w="0" w:type="auto"/>
          <w:jc w:val="center"/>
          <w:tblLayout w:type="fixed"/>
          <w:tblCellMar>
            <w:top w:w="0" w:type="dxa"/>
            <w:left w:w="0" w:type="dxa"/>
            <w:bottom w:w="0" w:type="dxa"/>
            <w:right w:w="0" w:type="dxa"/>
          </w:tblCellMar>
          <w:tblLook w:val="0000"/>
        </w:tblPrEx>
        <w:trPr>
          <w:trHeight w:val="480"/>
          <w:jc w:val="center"/>
        </w:trPr>
        <w:tc>
          <w:tcPr>
            <w:tcW w:w="2393" w:type="dxa"/>
          </w:tcPr>
          <w:p>
            <w:pPr>
              <w:pStyle w:val="TableParagraph"/>
              <w:spacing w:before="177"/>
              <w:ind w:left="95" w:right="86"/>
              <w:jc w:val="center"/>
              <w:rPr>
                <w:rFonts w:ascii="Times New Roman" w:eastAsia="Times New Roman"/>
                <w:color w:val="FF0000"/>
                <w:sz w:val="24"/>
              </w:rPr>
            </w:pPr>
            <w:r>
              <w:rPr>
                <w:color w:val="auto"/>
                <w:sz w:val="24"/>
              </w:rPr>
              <w:t>相近专业</w:t>
            </w:r>
            <w:r>
              <w:rPr>
                <w:rFonts w:hint="eastAsia"/>
                <w:color w:val="auto"/>
                <w:sz w:val="24"/>
                <w:lang w:val="en-US" w:eastAsia="zh-CN"/>
              </w:rPr>
              <w:t>2专业名称</w:t>
            </w:r>
          </w:p>
        </w:tc>
        <w:tc>
          <w:tcPr>
            <w:tcW w:w="2696" w:type="dxa"/>
          </w:tcPr>
          <w:p>
            <w:pPr>
              <w:pStyle w:val="TableParagraph"/>
              <w:spacing w:before="177"/>
              <w:ind w:left="212" w:right="207"/>
              <w:jc w:val="center"/>
              <w:rPr>
                <w:rFonts w:eastAsia="宋体" w:hint="eastAsia"/>
                <w:color w:val="auto"/>
                <w:sz w:val="24"/>
                <w:lang w:eastAsia="zh-CN"/>
              </w:rPr>
            </w:pPr>
            <w:r>
              <w:rPr>
                <w:rFonts w:hint="eastAsia"/>
                <w:color w:val="auto"/>
                <w:sz w:val="24"/>
                <w:lang w:eastAsia="zh-CN"/>
              </w:rPr>
              <w:t>广播电视编导</w:t>
            </w:r>
          </w:p>
        </w:tc>
        <w:tc>
          <w:tcPr>
            <w:tcW w:w="1850" w:type="dxa"/>
            <w:vAlign w:val="center"/>
          </w:tcPr>
          <w:p>
            <w:pPr>
              <w:pStyle w:val="TableParagraph"/>
              <w:ind w:right="0"/>
              <w:jc w:val="center"/>
              <w:rPr>
                <w:rFonts w:hint="eastAsia"/>
                <w:color w:val="auto"/>
                <w:sz w:val="24"/>
                <w:lang w:val="en-US" w:eastAsia="zh-CN"/>
              </w:rPr>
            </w:pPr>
            <w:r>
              <w:rPr>
                <w:rFonts w:hint="eastAsia"/>
                <w:color w:val="auto"/>
                <w:sz w:val="24"/>
                <w:lang w:val="en-US" w:eastAsia="zh-CN"/>
              </w:rPr>
              <w:t>开设年份</w:t>
            </w:r>
          </w:p>
        </w:tc>
        <w:tc>
          <w:tcPr>
            <w:tcW w:w="2629" w:type="dxa"/>
            <w:gridSpan w:val="2"/>
            <w:vAlign w:val="center"/>
          </w:tcPr>
          <w:p>
            <w:pPr>
              <w:pStyle w:val="TableParagraph"/>
              <w:ind w:right="0"/>
              <w:jc w:val="center"/>
              <w:rPr>
                <w:rFonts w:hint="default"/>
                <w:color w:val="auto"/>
                <w:sz w:val="24"/>
                <w:lang w:val="en-US" w:eastAsia="zh-CN"/>
              </w:rPr>
            </w:pPr>
            <w:r>
              <w:rPr>
                <w:rFonts w:hint="eastAsia"/>
                <w:color w:val="auto"/>
                <w:sz w:val="24"/>
                <w:lang w:val="en-US" w:eastAsia="zh-CN"/>
              </w:rPr>
              <w:t>2015年</w:t>
            </w:r>
          </w:p>
        </w:tc>
      </w:tr>
      <w:tr>
        <w:tblPrEx>
          <w:tblW w:w="0" w:type="auto"/>
          <w:jc w:val="center"/>
          <w:tblLayout w:type="fixed"/>
          <w:tblCellMar>
            <w:top w:w="0" w:type="dxa"/>
            <w:left w:w="0" w:type="dxa"/>
            <w:bottom w:w="0" w:type="dxa"/>
            <w:right w:w="0" w:type="dxa"/>
          </w:tblCellMar>
          <w:tblLook w:val="0000"/>
        </w:tblPrEx>
        <w:trPr>
          <w:trHeight w:val="520"/>
          <w:jc w:val="center"/>
        </w:trPr>
        <w:tc>
          <w:tcPr>
            <w:tcW w:w="2393" w:type="dxa"/>
          </w:tcPr>
          <w:p>
            <w:pPr>
              <w:pStyle w:val="TableParagraph"/>
              <w:spacing w:before="177"/>
              <w:ind w:left="95" w:right="86"/>
              <w:jc w:val="center"/>
              <w:rPr>
                <w:rFonts w:ascii="Times New Roman" w:eastAsia="Times New Roman"/>
                <w:color w:val="FF0000"/>
                <w:sz w:val="24"/>
              </w:rPr>
            </w:pPr>
            <w:r>
              <w:rPr>
                <w:color w:val="auto"/>
                <w:sz w:val="24"/>
              </w:rPr>
              <w:t>相近专业</w:t>
            </w:r>
            <w:r>
              <w:rPr>
                <w:rFonts w:hint="eastAsia"/>
                <w:color w:val="auto"/>
                <w:sz w:val="24"/>
                <w:lang w:val="en-US" w:eastAsia="zh-CN"/>
              </w:rPr>
              <w:t>3专业名称</w:t>
            </w:r>
          </w:p>
        </w:tc>
        <w:tc>
          <w:tcPr>
            <w:tcW w:w="2696" w:type="dxa"/>
          </w:tcPr>
          <w:p>
            <w:pPr>
              <w:pStyle w:val="TableParagraph"/>
              <w:spacing w:before="177"/>
              <w:ind w:left="212" w:right="207"/>
              <w:jc w:val="center"/>
              <w:rPr>
                <w:rFonts w:eastAsia="宋体" w:hint="eastAsia"/>
                <w:color w:val="auto"/>
                <w:sz w:val="24"/>
                <w:lang w:eastAsia="zh-CN"/>
              </w:rPr>
            </w:pPr>
            <w:r>
              <w:rPr>
                <w:rFonts w:hint="eastAsia"/>
                <w:color w:val="auto"/>
                <w:sz w:val="24"/>
                <w:lang w:eastAsia="zh-CN"/>
              </w:rPr>
              <w:t>舞蹈表演</w:t>
            </w:r>
          </w:p>
        </w:tc>
        <w:tc>
          <w:tcPr>
            <w:tcW w:w="1850" w:type="dxa"/>
            <w:vAlign w:val="center"/>
          </w:tcPr>
          <w:p>
            <w:pPr>
              <w:pStyle w:val="TableParagraph"/>
              <w:ind w:right="0"/>
              <w:jc w:val="center"/>
              <w:rPr>
                <w:color w:val="auto"/>
                <w:sz w:val="24"/>
                <w:lang w:val="en-US"/>
              </w:rPr>
            </w:pPr>
            <w:r>
              <w:rPr>
                <w:rFonts w:hint="eastAsia"/>
                <w:color w:val="auto"/>
                <w:sz w:val="24"/>
                <w:lang w:val="en-US" w:eastAsia="zh-CN"/>
              </w:rPr>
              <w:t>开设年份</w:t>
            </w:r>
          </w:p>
        </w:tc>
        <w:tc>
          <w:tcPr>
            <w:tcW w:w="2629" w:type="dxa"/>
            <w:gridSpan w:val="2"/>
            <w:vAlign w:val="center"/>
          </w:tcPr>
          <w:p>
            <w:pPr>
              <w:pStyle w:val="TableParagraph"/>
              <w:spacing w:before="14" w:line="282" w:lineRule="exact"/>
              <w:ind w:left="90" w:right="19"/>
              <w:jc w:val="center"/>
              <w:rPr>
                <w:rFonts w:eastAsia="宋体" w:hint="default"/>
                <w:color w:val="auto"/>
                <w:sz w:val="24"/>
                <w:lang w:val="en-US" w:eastAsia="zh-CN"/>
              </w:rPr>
            </w:pPr>
            <w:r>
              <w:rPr>
                <w:rFonts w:hint="eastAsia"/>
                <w:color w:val="auto"/>
                <w:sz w:val="24"/>
                <w:lang w:val="en-US" w:eastAsia="zh-CN"/>
              </w:rPr>
              <w:t>2016年</w:t>
            </w:r>
          </w:p>
        </w:tc>
      </w:tr>
    </w:tbl>
    <w:p>
      <w:pPr>
        <w:jc w:val="center"/>
        <w:rPr>
          <w:rFonts w:ascii="Times New Roman"/>
          <w:sz w:val="24"/>
        </w:rPr>
        <w:sectPr>
          <w:pgSz w:w="11911" w:h="16838" w:orient="portrait"/>
          <w:pgMar w:top="1417" w:right="850" w:bottom="1417" w:left="850" w:header="720" w:footer="720" w:gutter="0"/>
          <w:paperSrc w:first="0" w:other="0"/>
          <w:cols w:space="708"/>
          <w:titlePg w:val="0"/>
          <w:rtlGutter w:val="0"/>
          <w:docGrid w:linePitch="1" w:charSpace="0"/>
        </w:sectPr>
      </w:pPr>
    </w:p>
    <w:p>
      <w:pPr>
        <w:pStyle w:val="ListParagraph"/>
        <w:numPr>
          <w:ilvl w:val="0"/>
          <w:numId w:val="0"/>
        </w:numPr>
        <w:tabs>
          <w:tab w:val="left" w:pos="3636"/>
        </w:tabs>
        <w:ind w:left="-1" w:right="254" w:leftChars="0" w:rightChars="0"/>
        <w:jc w:val="center"/>
        <w:rPr>
          <w:rFonts w:ascii="Times New Roman" w:eastAsia="黑体" w:hint="eastAsia"/>
          <w:sz w:val="11"/>
          <w:lang w:eastAsia="zh-CN"/>
        </w:rPr>
      </w:pPr>
      <w:r>
        <w:rPr>
          <w:rFonts w:ascii="黑体" w:eastAsia="黑体" w:hint="eastAsia"/>
          <w:sz w:val="36"/>
          <w:lang w:val="en-US" w:eastAsia="zh-CN"/>
        </w:rPr>
        <w:t>3.</w:t>
      </w:r>
      <w:r>
        <w:rPr>
          <w:rFonts w:ascii="黑体" w:eastAsia="黑体" w:hint="eastAsia"/>
          <w:sz w:val="36"/>
        </w:rPr>
        <w:t>申报专业</w:t>
      </w:r>
      <w:r>
        <w:rPr>
          <w:rFonts w:ascii="黑体" w:eastAsia="黑体" w:hint="eastAsia"/>
          <w:sz w:val="36"/>
          <w:lang w:eastAsia="zh-CN"/>
        </w:rPr>
        <w:t>人才需求</w:t>
      </w:r>
      <w:r>
        <w:rPr>
          <w:rFonts w:ascii="黑体" w:eastAsia="黑体" w:hint="eastAsia"/>
          <w:sz w:val="36"/>
        </w:rPr>
        <w:t>情况</w:t>
      </w:r>
    </w:p>
    <w:p>
      <w:pPr>
        <w:pStyle w:val="BodyText"/>
        <w:spacing w:before="5"/>
        <w:rPr>
          <w:rFonts w:ascii="Times New Roman"/>
          <w:sz w:val="11"/>
        </w:rPr>
      </w:pPr>
    </w:p>
    <w:tbl>
      <w:tblPr>
        <w:tblStyle w:val="TableNormal"/>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2564"/>
        <w:gridCol w:w="3424"/>
        <w:gridCol w:w="3817"/>
      </w:tblGrid>
      <w:tr>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558"/>
        </w:trPr>
        <w:tc>
          <w:tcPr>
            <w:tcW w:w="2564" w:type="dxa"/>
            <w:tcBorders>
              <w:bottom w:val="single" w:sz="6" w:space="0" w:color="000000"/>
              <w:right w:val="single" w:sz="6" w:space="0" w:color="000000"/>
            </w:tcBorders>
            <w:vAlign w:val="center"/>
          </w:tcPr>
          <w:p>
            <w:pPr>
              <w:pStyle w:val="TableParagraph"/>
              <w:spacing w:before="122"/>
              <w:ind w:left="107"/>
              <w:jc w:val="center"/>
              <w:rPr>
                <w:color w:val="FF0000"/>
                <w:sz w:val="24"/>
              </w:rPr>
            </w:pPr>
            <w:r>
              <w:rPr>
                <w:sz w:val="24"/>
              </w:rPr>
              <w:t>申报专业主要就业领域</w:t>
            </w:r>
          </w:p>
        </w:tc>
        <w:tc>
          <w:tcPr>
            <w:tcW w:w="7241" w:type="dxa"/>
            <w:gridSpan w:val="2"/>
            <w:tcBorders>
              <w:left w:val="single" w:sz="6" w:space="0" w:color="000000"/>
              <w:bottom w:val="single" w:sz="6" w:space="0" w:color="000000"/>
            </w:tcBorders>
            <w:vAlign w:val="center"/>
          </w:tcPr>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225" w:afterAutospacing="0" w:line="360" w:lineRule="atLeast"/>
              <w:ind w:left="0" w:right="0" w:firstLine="420"/>
              <w:rPr>
                <w:rFonts w:ascii="宋体" w:eastAsia="宋体" w:hAnsi="宋体" w:cs="宋体" w:hint="eastAsia"/>
                <w:kern w:val="0"/>
                <w:sz w:val="22"/>
                <w:szCs w:val="22"/>
                <w:lang w:val="en-US" w:eastAsia="zh-CN" w:bidi="ar"/>
              </w:rPr>
            </w:pPr>
            <w:r>
              <w:rPr>
                <w:rFonts w:eastAsia="宋体" w:hint="default"/>
                <w:lang w:val="en-US" w:eastAsia="zh-CN" w:bidi="ar"/>
              </w:rPr>
              <w:t>主要从事戏剧、戏曲、电影、电视和舞蹈等表演中独立完成不同人物形象创作的工作。可在全国各电视台、电视剧制作中心、各影视制作公司、剧组、文艺表演团体、教研单位、各单位党政共团、文化传播公司从事表演、管理、策划、组织等工作。</w:t>
            </w:r>
          </w:p>
        </w:tc>
      </w:tr>
      <w:tr>
        <w:tblPrEx>
          <w:tblW w:w="0" w:type="auto"/>
          <w:tblInd w:w="116" w:type="dxa"/>
          <w:tblLayout w:type="fixed"/>
          <w:tblCellMar>
            <w:top w:w="0" w:type="dxa"/>
            <w:left w:w="0" w:type="dxa"/>
            <w:bottom w:w="0" w:type="dxa"/>
            <w:right w:w="0" w:type="dxa"/>
          </w:tblCellMar>
          <w:tblLook w:val="0000"/>
        </w:tblPrEx>
        <w:trPr>
          <w:trHeight w:val="558"/>
        </w:trPr>
        <w:tc>
          <w:tcPr>
            <w:tcW w:w="2564" w:type="dxa"/>
            <w:tcBorders>
              <w:bottom w:val="single" w:sz="6" w:space="0" w:color="000000"/>
              <w:right w:val="single" w:sz="6" w:space="0" w:color="000000"/>
            </w:tcBorders>
            <w:vAlign w:val="center"/>
          </w:tcPr>
          <w:p>
            <w:pPr>
              <w:pStyle w:val="TableParagraph"/>
              <w:spacing w:before="122"/>
              <w:ind w:left="107"/>
              <w:jc w:val="center"/>
              <w:rPr>
                <w:sz w:val="24"/>
              </w:rPr>
            </w:pPr>
            <w:r>
              <w:rPr>
                <w:sz w:val="24"/>
              </w:rPr>
              <w:t>人才需求情况</w:t>
            </w:r>
          </w:p>
        </w:tc>
        <w:tc>
          <w:tcPr>
            <w:tcW w:w="7241" w:type="dxa"/>
            <w:gridSpan w:val="2"/>
            <w:tcBorders>
              <w:left w:val="single" w:sz="6" w:space="0" w:color="000000"/>
              <w:bottom w:val="single" w:sz="6" w:space="0" w:color="000000"/>
            </w:tcBorders>
            <w:vAlign w:val="center"/>
          </w:tcPr>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val="0"/>
              <w:autoSpaceDN w:val="0"/>
              <w:bidi w:val="0"/>
              <w:adjustRightInd/>
              <w:snapToGrid/>
              <w:spacing w:before="0" w:beforeAutospacing="0" w:after="0" w:afterAutospacing="0" w:line="240" w:lineRule="auto"/>
              <w:ind w:left="0" w:right="0" w:firstLine="420"/>
              <w:textAlignment w:val="auto"/>
              <w:rPr>
                <w:rFonts w:eastAsia="宋体" w:hint="eastAsia"/>
                <w:lang w:val="en-US" w:eastAsia="zh-CN" w:bidi="ar"/>
              </w:rPr>
            </w:pPr>
            <w:r>
              <w:rPr>
                <w:rFonts w:eastAsia="宋体" w:hint="eastAsia"/>
                <w:lang w:val="en-US" w:eastAsia="zh-CN" w:bidi="ar"/>
              </w:rPr>
              <w:t>为更好调研表演专业人才需求情况，我院采取对网上招聘信息进行汇总分析，与建立联系的企事业单位进行沟通两种方式，分析京津冀地区对表演专业的人才需求情况，通过BOSS直聘查询2021年7月份表演类招聘，唐山地区发布招聘演员职位共计67个，石家庄地区发布招聘演员职位共计215个，廊坊地区发布招聘职位72个，邯郸地区发布招聘职位50个，秦皇岛地区发布招聘职位50个，衡水地区发布招聘职位16个，北京地区发布招聘职位3000个，天津地区发布招聘职位3000个。通过招聘信息进行分析。对表演专业的岗位需求主要有:演员，主播，教师，配音员、短视频制作、编导等岗位。</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val="0"/>
              <w:autoSpaceDN w:val="0"/>
              <w:bidi w:val="0"/>
              <w:adjustRightInd/>
              <w:snapToGrid/>
              <w:spacing w:before="0" w:beforeAutospacing="0" w:after="0" w:afterAutospacing="0" w:line="240" w:lineRule="auto"/>
              <w:ind w:left="0" w:right="0" w:firstLine="420"/>
              <w:textAlignment w:val="auto"/>
              <w:rPr>
                <w:rFonts w:eastAsia="宋体" w:hint="default"/>
                <w:lang w:val="en-US" w:eastAsia="zh-CN" w:bidi="ar"/>
              </w:rPr>
            </w:pPr>
            <w:r>
              <w:rPr>
                <w:rFonts w:eastAsia="宋体" w:hint="eastAsia"/>
                <w:lang w:val="en-US" w:eastAsia="zh-CN" w:bidi="ar"/>
              </w:rPr>
              <w:t>我院与建立联系的企业人事主管领导进行交流，其中:保定三尚文化传播有限公司年招聘需求为20人以上，星拓文化传媒有限公司年招聘需求为30人以上，梧桐树培训学校有限公司年招聘需求为30人以上，北京维动文化传播有限公司年招聘需求为50人以上，河北北言文化传播有限公司年招聘需求为30人以上，招聘岗位为演员、编导、配音员、教师等。</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225" w:afterAutospacing="0" w:line="240" w:lineRule="auto"/>
              <w:ind w:left="0" w:right="0" w:firstLine="420"/>
              <w:rPr>
                <w:rFonts w:ascii="宋体" w:eastAsia="宋体" w:hAnsi="宋体" w:cs="宋体" w:hint="default"/>
                <w:kern w:val="0"/>
                <w:sz w:val="22"/>
                <w:szCs w:val="22"/>
                <w:lang w:val="en-US" w:eastAsia="zh-CN" w:bidi="ar"/>
              </w:rPr>
            </w:pPr>
            <w:r>
              <w:rPr>
                <w:rFonts w:eastAsia="宋体" w:hint="eastAsia"/>
                <w:lang w:val="en-US" w:eastAsia="zh-CN" w:bidi="ar"/>
              </w:rPr>
              <w:t>可以看出，大部分招聘企业对于应聘人员的学历有一定的要求，数据显示，本科学历要求的招聘信息占50%以上。所以本专业的开设符合社会人才需求。</w:t>
            </w:r>
          </w:p>
        </w:tc>
      </w:tr>
      <w:tr>
        <w:tblPrEx>
          <w:tblW w:w="0" w:type="auto"/>
          <w:tblInd w:w="116" w:type="dxa"/>
          <w:tblLayout w:type="fixed"/>
          <w:tblCellMar>
            <w:top w:w="0" w:type="dxa"/>
            <w:left w:w="0" w:type="dxa"/>
            <w:bottom w:w="0" w:type="dxa"/>
            <w:right w:w="0" w:type="dxa"/>
          </w:tblCellMar>
          <w:tblLook w:val="0000"/>
        </w:tblPrEx>
        <w:trPr>
          <w:trHeight w:val="558"/>
        </w:trPr>
        <w:tc>
          <w:tcPr>
            <w:tcW w:w="2564" w:type="dxa"/>
            <w:vMerge w:val="restart"/>
            <w:tcBorders>
              <w:top w:val="single" w:sz="6" w:space="0" w:color="000000"/>
              <w:right w:val="single" w:sz="6" w:space="0" w:color="000000"/>
            </w:tcBorders>
          </w:tcPr>
          <w:p>
            <w:pPr>
              <w:pStyle w:val="TableParagraph"/>
              <w:jc w:val="center"/>
              <w:rPr>
                <w:rFonts w:ascii="Times New Roman"/>
                <w:sz w:val="24"/>
              </w:rPr>
            </w:pPr>
          </w:p>
          <w:p>
            <w:pPr>
              <w:pStyle w:val="TableParagraph"/>
              <w:jc w:val="center"/>
              <w:rPr>
                <w:rFonts w:ascii="Times New Roman"/>
                <w:sz w:val="24"/>
              </w:rPr>
            </w:pPr>
          </w:p>
          <w:p>
            <w:pPr>
              <w:pStyle w:val="TableParagraph"/>
              <w:jc w:val="center"/>
              <w:rPr>
                <w:rFonts w:ascii="Times New Roman"/>
                <w:sz w:val="24"/>
              </w:rPr>
            </w:pPr>
          </w:p>
          <w:p>
            <w:pPr>
              <w:pStyle w:val="TableParagraph"/>
              <w:spacing w:before="1"/>
              <w:jc w:val="center"/>
              <w:rPr>
                <w:rFonts w:ascii="Times New Roman"/>
                <w:sz w:val="23"/>
              </w:rPr>
            </w:pPr>
          </w:p>
          <w:p>
            <w:pPr>
              <w:pStyle w:val="TableParagraph"/>
              <w:spacing w:line="240" w:lineRule="auto"/>
              <w:ind w:left="182" w:right="170"/>
              <w:jc w:val="center"/>
              <w:rPr>
                <w:sz w:val="24"/>
              </w:rPr>
            </w:pPr>
            <w:r>
              <w:rPr>
                <w:spacing w:val="-4"/>
                <w:sz w:val="24"/>
              </w:rPr>
              <w:t>申报专业人才需求调研情况</w:t>
            </w:r>
          </w:p>
          <w:p>
            <w:pPr>
              <w:pStyle w:val="TableParagraph"/>
              <w:spacing w:line="240" w:lineRule="auto"/>
              <w:ind w:left="182" w:right="170"/>
              <w:jc w:val="center"/>
              <w:rPr>
                <w:sz w:val="24"/>
              </w:rPr>
            </w:pPr>
            <w:r>
              <w:rPr>
                <w:sz w:val="24"/>
              </w:rPr>
              <w:t>（</w:t>
            </w:r>
            <w:r>
              <w:rPr>
                <w:spacing w:val="-4"/>
                <w:sz w:val="24"/>
              </w:rPr>
              <w:t>可上传合作</w:t>
            </w:r>
            <w:r>
              <w:rPr>
                <w:sz w:val="24"/>
              </w:rPr>
              <w:t>办学协议等</w:t>
            </w:r>
            <w:r>
              <w:rPr>
                <w:spacing w:val="-18"/>
                <w:sz w:val="24"/>
              </w:rPr>
              <w:t>）</w:t>
            </w:r>
          </w:p>
        </w:tc>
        <w:tc>
          <w:tcPr>
            <w:tcW w:w="3424" w:type="dxa"/>
            <w:tcBorders>
              <w:top w:val="single" w:sz="6" w:space="0" w:color="000000"/>
              <w:left w:val="single" w:sz="6" w:space="0" w:color="000000"/>
              <w:bottom w:val="single" w:sz="6" w:space="0" w:color="000000"/>
              <w:right w:val="single" w:sz="6" w:space="0" w:color="000000"/>
            </w:tcBorders>
          </w:tcPr>
          <w:p>
            <w:pPr>
              <w:pStyle w:val="TableParagraph"/>
              <w:spacing w:before="208"/>
              <w:rPr>
                <w:rFonts w:eastAsia="宋体" w:hint="eastAsia"/>
                <w:lang w:val="en-US" w:eastAsia="zh-CN" w:bidi="ar"/>
              </w:rPr>
            </w:pPr>
            <w:r>
              <w:rPr>
                <w:rFonts w:hint="eastAsia"/>
                <w:lang w:val="en-US" w:bidi="ar"/>
              </w:rPr>
              <w:t>年度计划招生人数</w:t>
            </w:r>
          </w:p>
        </w:tc>
        <w:tc>
          <w:tcPr>
            <w:tcW w:w="3817" w:type="dxa"/>
            <w:tcBorders>
              <w:top w:val="single" w:sz="6" w:space="0" w:color="000000"/>
              <w:left w:val="single" w:sz="6" w:space="0" w:color="000000"/>
              <w:bottom w:val="single" w:sz="6" w:space="0" w:color="000000"/>
            </w:tcBorders>
            <w:vAlign w:val="center"/>
          </w:tcPr>
          <w:p>
            <w:pPr>
              <w:pStyle w:val="TableParagraph"/>
              <w:jc w:val="center"/>
              <w:rPr>
                <w:rFonts w:eastAsia="宋体" w:hint="default"/>
                <w:lang w:val="en-US" w:eastAsia="zh-CN" w:bidi="ar"/>
              </w:rPr>
            </w:pPr>
            <w:r>
              <w:rPr>
                <w:rFonts w:hint="eastAsia"/>
                <w:lang w:val="en-US" w:eastAsia="zh-CN" w:bidi="ar"/>
              </w:rPr>
              <w:t>100</w:t>
            </w:r>
          </w:p>
        </w:tc>
      </w:tr>
      <w:tr>
        <w:tblPrEx>
          <w:tblW w:w="0" w:type="auto"/>
          <w:tblInd w:w="116" w:type="dxa"/>
          <w:tblLayout w:type="fixed"/>
          <w:tblCellMar>
            <w:top w:w="0" w:type="dxa"/>
            <w:left w:w="0" w:type="dxa"/>
            <w:bottom w:w="0" w:type="dxa"/>
            <w:right w:w="0" w:type="dxa"/>
          </w:tblCellMar>
          <w:tblLook w:val="0000"/>
        </w:tblPrEx>
        <w:trPr>
          <w:trHeight w:val="561"/>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tcPr>
          <w:p>
            <w:pPr>
              <w:pStyle w:val="TableParagraph"/>
              <w:spacing w:before="211"/>
              <w:rPr>
                <w:rFonts w:hint="eastAsia"/>
                <w:lang w:val="en-US" w:bidi="ar"/>
              </w:rPr>
            </w:pPr>
            <w:r>
              <w:rPr>
                <w:rFonts w:hint="eastAsia"/>
                <w:lang w:val="en-US" w:bidi="ar"/>
              </w:rPr>
              <w:t>预计升学人数</w:t>
            </w:r>
          </w:p>
        </w:tc>
        <w:tc>
          <w:tcPr>
            <w:tcW w:w="3817" w:type="dxa"/>
            <w:tcBorders>
              <w:top w:val="single" w:sz="6" w:space="0" w:color="000000"/>
              <w:left w:val="single" w:sz="6" w:space="0" w:color="000000"/>
              <w:bottom w:val="single" w:sz="6" w:space="0" w:color="000000"/>
            </w:tcBorders>
            <w:vAlign w:val="center"/>
          </w:tcPr>
          <w:p>
            <w:pPr>
              <w:pStyle w:val="TableParagraph"/>
              <w:jc w:val="center"/>
              <w:rPr>
                <w:rFonts w:eastAsia="宋体" w:hint="default"/>
                <w:lang w:val="en-US" w:eastAsia="zh-CN" w:bidi="ar"/>
              </w:rPr>
            </w:pPr>
            <w:r>
              <w:rPr>
                <w:rFonts w:hint="eastAsia"/>
                <w:lang w:val="en-US" w:eastAsia="zh-CN" w:bidi="ar"/>
              </w:rPr>
              <w:t>10</w:t>
            </w:r>
          </w:p>
        </w:tc>
      </w:tr>
      <w:tr>
        <w:tblPrEx>
          <w:tblW w:w="0" w:type="auto"/>
          <w:tblInd w:w="116" w:type="dxa"/>
          <w:tblLayout w:type="fixed"/>
          <w:tblCellMar>
            <w:top w:w="0" w:type="dxa"/>
            <w:left w:w="0" w:type="dxa"/>
            <w:bottom w:w="0" w:type="dxa"/>
            <w:right w:w="0" w:type="dxa"/>
          </w:tblCellMar>
          <w:tblLook w:val="0000"/>
        </w:tblPrEx>
        <w:trPr>
          <w:trHeight w:val="558"/>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tcPr>
          <w:p>
            <w:pPr>
              <w:pStyle w:val="TableParagraph"/>
              <w:spacing w:before="208"/>
              <w:rPr>
                <w:rFonts w:hint="eastAsia"/>
                <w:lang w:val="en-US" w:bidi="ar"/>
              </w:rPr>
            </w:pPr>
            <w:r>
              <w:rPr>
                <w:rFonts w:hint="eastAsia"/>
                <w:lang w:val="en-US" w:bidi="ar"/>
              </w:rPr>
              <w:t>预计就业人数</w:t>
            </w:r>
          </w:p>
        </w:tc>
        <w:tc>
          <w:tcPr>
            <w:tcW w:w="3817" w:type="dxa"/>
            <w:tcBorders>
              <w:top w:val="single" w:sz="6" w:space="0" w:color="000000"/>
              <w:left w:val="single" w:sz="6" w:space="0" w:color="000000"/>
              <w:bottom w:val="single" w:sz="6" w:space="0" w:color="000000"/>
            </w:tcBorders>
            <w:vAlign w:val="center"/>
          </w:tcPr>
          <w:p>
            <w:pPr>
              <w:pStyle w:val="TableParagraph"/>
              <w:jc w:val="center"/>
              <w:rPr>
                <w:rFonts w:eastAsia="宋体" w:hint="default"/>
                <w:lang w:val="en-US" w:eastAsia="zh-CN" w:bidi="ar"/>
              </w:rPr>
            </w:pPr>
            <w:r>
              <w:rPr>
                <w:rFonts w:hint="eastAsia"/>
                <w:lang w:val="en-US" w:eastAsia="zh-CN" w:bidi="ar"/>
              </w:rPr>
              <w:t>90</w:t>
            </w:r>
          </w:p>
        </w:tc>
      </w:tr>
      <w:tr>
        <w:tblPrEx>
          <w:tblW w:w="0" w:type="auto"/>
          <w:tblInd w:w="116" w:type="dxa"/>
          <w:tblLayout w:type="fixed"/>
          <w:tblCellMar>
            <w:top w:w="0" w:type="dxa"/>
            <w:left w:w="0" w:type="dxa"/>
            <w:bottom w:w="0" w:type="dxa"/>
            <w:right w:w="0" w:type="dxa"/>
          </w:tblCellMar>
          <w:tblLook w:val="0000"/>
        </w:tblPrEx>
        <w:trPr>
          <w:trHeight w:val="561"/>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vAlign w:val="center"/>
          </w:tcPr>
          <w:p>
            <w:pPr>
              <w:widowControl/>
              <w:jc w:val="both"/>
              <w:textAlignment w:val="center"/>
              <w:rPr>
                <w:rFonts w:eastAsia="宋体" w:hint="default"/>
                <w:lang w:val="en-US" w:eastAsia="zh-CN" w:bidi="ar"/>
              </w:rPr>
            </w:pPr>
            <w:r>
              <w:rPr>
                <w:rFonts w:eastAsia="宋体" w:hint="eastAsia"/>
                <w:lang w:val="en-US" w:eastAsia="zh-CN" w:bidi="ar"/>
              </w:rPr>
              <w:t>保定三尚文化传播有限公司</w:t>
            </w:r>
          </w:p>
        </w:tc>
        <w:tc>
          <w:tcPr>
            <w:tcW w:w="3817" w:type="dxa"/>
            <w:tcBorders>
              <w:top w:val="single" w:sz="6" w:space="0" w:color="000000"/>
              <w:left w:val="single" w:sz="6" w:space="0" w:color="000000"/>
              <w:bottom w:val="single" w:sz="6" w:space="0" w:color="000000"/>
            </w:tcBorders>
            <w:vAlign w:val="center"/>
          </w:tcPr>
          <w:p>
            <w:pPr>
              <w:widowControl/>
              <w:jc w:val="center"/>
              <w:textAlignment w:val="center"/>
              <w:rPr>
                <w:rFonts w:eastAsia="宋体" w:hint="default"/>
                <w:lang w:val="en-US" w:eastAsia="zh-CN" w:bidi="ar"/>
              </w:rPr>
            </w:pPr>
            <w:r>
              <w:rPr>
                <w:rFonts w:hint="eastAsia"/>
                <w:lang w:val="en-US" w:eastAsia="zh-CN" w:bidi="ar"/>
              </w:rPr>
              <w:t>10</w:t>
            </w:r>
          </w:p>
        </w:tc>
      </w:tr>
      <w:tr>
        <w:tblPrEx>
          <w:tblW w:w="0" w:type="auto"/>
          <w:tblInd w:w="116" w:type="dxa"/>
          <w:tblLayout w:type="fixed"/>
          <w:tblCellMar>
            <w:top w:w="0" w:type="dxa"/>
            <w:left w:w="0" w:type="dxa"/>
            <w:bottom w:w="0" w:type="dxa"/>
            <w:right w:w="0" w:type="dxa"/>
          </w:tblCellMar>
          <w:tblLook w:val="0000"/>
        </w:tblPrEx>
        <w:trPr>
          <w:trHeight w:val="559"/>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vAlign w:val="center"/>
          </w:tcPr>
          <w:p>
            <w:pPr>
              <w:widowControl/>
              <w:jc w:val="left"/>
              <w:textAlignment w:val="center"/>
              <w:rPr>
                <w:lang w:val="en-US" w:bidi="ar"/>
              </w:rPr>
            </w:pPr>
            <w:r>
              <w:rPr>
                <w:rFonts w:hint="eastAsia"/>
                <w:lang w:val="en-US" w:eastAsia="zh-CN" w:bidi="ar"/>
              </w:rPr>
              <w:t>星拓文化传媒有限公司</w:t>
            </w:r>
          </w:p>
        </w:tc>
        <w:tc>
          <w:tcPr>
            <w:tcW w:w="3817" w:type="dxa"/>
            <w:tcBorders>
              <w:top w:val="single" w:sz="6" w:space="0" w:color="000000"/>
              <w:left w:val="single" w:sz="6" w:space="0" w:color="000000"/>
              <w:bottom w:val="single" w:sz="6" w:space="0" w:color="000000"/>
            </w:tcBorders>
            <w:vAlign w:val="center"/>
          </w:tcPr>
          <w:p>
            <w:pPr>
              <w:widowControl/>
              <w:jc w:val="center"/>
              <w:textAlignment w:val="center"/>
              <w:rPr>
                <w:rFonts w:eastAsia="宋体" w:hint="default"/>
                <w:lang w:val="en-US" w:eastAsia="zh-CN" w:bidi="ar"/>
              </w:rPr>
            </w:pPr>
            <w:r>
              <w:rPr>
                <w:rFonts w:hint="eastAsia"/>
                <w:lang w:val="en-US" w:eastAsia="zh-CN" w:bidi="ar"/>
              </w:rPr>
              <w:t>20</w:t>
            </w:r>
          </w:p>
        </w:tc>
      </w:tr>
      <w:tr>
        <w:tblPrEx>
          <w:tblW w:w="0" w:type="auto"/>
          <w:tblInd w:w="116" w:type="dxa"/>
          <w:tblLayout w:type="fixed"/>
          <w:tblCellMar>
            <w:top w:w="0" w:type="dxa"/>
            <w:left w:w="0" w:type="dxa"/>
            <w:bottom w:w="0" w:type="dxa"/>
            <w:right w:w="0" w:type="dxa"/>
          </w:tblCellMar>
          <w:tblLook w:val="0000"/>
        </w:tblPrEx>
        <w:trPr>
          <w:trHeight w:val="561"/>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vAlign w:val="center"/>
          </w:tcPr>
          <w:p>
            <w:pPr>
              <w:widowControl/>
              <w:jc w:val="both"/>
              <w:textAlignment w:val="center"/>
              <w:rPr>
                <w:rFonts w:eastAsia="宋体" w:hint="eastAsia"/>
                <w:lang w:val="en-US" w:eastAsia="zh-CN" w:bidi="ar"/>
              </w:rPr>
            </w:pPr>
            <w:r>
              <w:rPr>
                <w:rFonts w:hint="eastAsia"/>
                <w:lang w:val="en-US" w:eastAsia="zh-CN" w:bidi="ar"/>
              </w:rPr>
              <w:t>梧桐树培训学校有限公司</w:t>
            </w:r>
          </w:p>
        </w:tc>
        <w:tc>
          <w:tcPr>
            <w:tcW w:w="3817" w:type="dxa"/>
            <w:tcBorders>
              <w:top w:val="single" w:sz="6" w:space="0" w:color="000000"/>
              <w:left w:val="single" w:sz="6" w:space="0" w:color="000000"/>
              <w:bottom w:val="single" w:sz="6" w:space="0" w:color="000000"/>
            </w:tcBorders>
            <w:vAlign w:val="center"/>
          </w:tcPr>
          <w:p>
            <w:pPr>
              <w:widowControl/>
              <w:jc w:val="center"/>
              <w:textAlignment w:val="center"/>
              <w:rPr>
                <w:rFonts w:eastAsia="宋体" w:hint="default"/>
                <w:lang w:val="en-US" w:eastAsia="zh-CN" w:bidi="ar"/>
              </w:rPr>
            </w:pPr>
            <w:r>
              <w:rPr>
                <w:rFonts w:hint="eastAsia"/>
                <w:lang w:val="en-US" w:eastAsia="zh-CN" w:bidi="ar"/>
              </w:rPr>
              <w:t>20</w:t>
            </w:r>
          </w:p>
        </w:tc>
      </w:tr>
      <w:tr>
        <w:tblPrEx>
          <w:tblW w:w="0" w:type="auto"/>
          <w:tblInd w:w="116" w:type="dxa"/>
          <w:tblLayout w:type="fixed"/>
          <w:tblCellMar>
            <w:top w:w="0" w:type="dxa"/>
            <w:left w:w="0" w:type="dxa"/>
            <w:bottom w:w="0" w:type="dxa"/>
            <w:right w:w="0" w:type="dxa"/>
          </w:tblCellMar>
          <w:tblLook w:val="0000"/>
        </w:tblPrEx>
        <w:trPr>
          <w:trHeight w:val="561"/>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vAlign w:val="center"/>
          </w:tcPr>
          <w:p>
            <w:pPr>
              <w:widowControl/>
              <w:jc w:val="both"/>
              <w:textAlignment w:val="center"/>
              <w:rPr>
                <w:rFonts w:hint="eastAsia"/>
                <w:lang w:val="en-US" w:eastAsia="zh-CN" w:bidi="ar"/>
              </w:rPr>
            </w:pPr>
            <w:r>
              <w:rPr>
                <w:rFonts w:hint="eastAsia"/>
                <w:lang w:val="en-US" w:eastAsia="zh-CN" w:bidi="ar"/>
              </w:rPr>
              <w:t>北京维动文化传播有限公司</w:t>
            </w:r>
          </w:p>
        </w:tc>
        <w:tc>
          <w:tcPr>
            <w:tcW w:w="3817" w:type="dxa"/>
            <w:tcBorders>
              <w:top w:val="single" w:sz="6" w:space="0" w:color="000000"/>
              <w:left w:val="single" w:sz="6" w:space="0" w:color="000000"/>
              <w:bottom w:val="single" w:sz="6" w:space="0" w:color="000000"/>
            </w:tcBorders>
            <w:vAlign w:val="center"/>
          </w:tcPr>
          <w:p>
            <w:pPr>
              <w:widowControl/>
              <w:jc w:val="center"/>
              <w:textAlignment w:val="center"/>
              <w:rPr>
                <w:rFonts w:hint="default"/>
                <w:lang w:val="en-US" w:eastAsia="zh-CN" w:bidi="ar"/>
              </w:rPr>
            </w:pPr>
            <w:r>
              <w:rPr>
                <w:rFonts w:hint="eastAsia"/>
                <w:lang w:val="en-US" w:eastAsia="zh-CN" w:bidi="ar"/>
              </w:rPr>
              <w:t>20</w:t>
            </w:r>
          </w:p>
        </w:tc>
      </w:tr>
      <w:tr>
        <w:tblPrEx>
          <w:tblW w:w="0" w:type="auto"/>
          <w:tblInd w:w="116" w:type="dxa"/>
          <w:tblLayout w:type="fixed"/>
          <w:tblCellMar>
            <w:top w:w="0" w:type="dxa"/>
            <w:left w:w="0" w:type="dxa"/>
            <w:bottom w:w="0" w:type="dxa"/>
            <w:right w:w="0" w:type="dxa"/>
          </w:tblCellMar>
          <w:tblLook w:val="0000"/>
        </w:tblPrEx>
        <w:trPr>
          <w:trHeight w:val="561"/>
        </w:trPr>
        <w:tc>
          <w:tcPr>
            <w:tcW w:w="2564" w:type="dxa"/>
            <w:vMerge/>
            <w:tcBorders>
              <w:right w:val="single" w:sz="6" w:space="0" w:color="000000"/>
            </w:tcBorders>
          </w:tcPr>
          <w:p>
            <w:pPr>
              <w:rPr>
                <w:sz w:val="2"/>
                <w:szCs w:val="2"/>
              </w:rPr>
            </w:pPr>
          </w:p>
        </w:tc>
        <w:tc>
          <w:tcPr>
            <w:tcW w:w="3424" w:type="dxa"/>
            <w:tcBorders>
              <w:top w:val="single" w:sz="6" w:space="0" w:color="000000"/>
              <w:left w:val="single" w:sz="6" w:space="0" w:color="000000"/>
              <w:bottom w:val="single" w:sz="6" w:space="0" w:color="000000"/>
              <w:right w:val="single" w:sz="6" w:space="0" w:color="000000"/>
            </w:tcBorders>
            <w:vAlign w:val="center"/>
          </w:tcPr>
          <w:p>
            <w:pPr>
              <w:widowControl/>
              <w:jc w:val="both"/>
              <w:textAlignment w:val="center"/>
              <w:rPr>
                <w:rFonts w:hint="eastAsia"/>
                <w:lang w:val="en-US" w:eastAsia="zh-CN" w:bidi="ar"/>
              </w:rPr>
            </w:pPr>
            <w:r>
              <w:rPr>
                <w:rFonts w:hint="eastAsia"/>
                <w:lang w:val="en-US" w:eastAsia="zh-CN" w:bidi="ar"/>
              </w:rPr>
              <w:t>河北北言文化传播有限公司</w:t>
            </w:r>
          </w:p>
        </w:tc>
        <w:tc>
          <w:tcPr>
            <w:tcW w:w="3817" w:type="dxa"/>
            <w:tcBorders>
              <w:top w:val="single" w:sz="6" w:space="0" w:color="000000"/>
              <w:left w:val="single" w:sz="6" w:space="0" w:color="000000"/>
              <w:bottom w:val="single" w:sz="6" w:space="0" w:color="000000"/>
            </w:tcBorders>
            <w:vAlign w:val="center"/>
          </w:tcPr>
          <w:p>
            <w:pPr>
              <w:widowControl/>
              <w:jc w:val="center"/>
              <w:textAlignment w:val="center"/>
              <w:rPr>
                <w:rFonts w:hint="default"/>
                <w:lang w:val="en-US" w:eastAsia="zh-CN" w:bidi="ar"/>
              </w:rPr>
            </w:pPr>
            <w:r>
              <w:rPr>
                <w:rFonts w:hint="eastAsia"/>
                <w:lang w:val="en-US" w:eastAsia="zh-CN" w:bidi="ar"/>
              </w:rPr>
              <w:t>20</w:t>
            </w:r>
          </w:p>
        </w:tc>
      </w:tr>
    </w:tbl>
    <w:p>
      <w:pPr>
        <w:rPr>
          <w:rFonts w:ascii="Times New Roman"/>
          <w:sz w:val="24"/>
        </w:rPr>
        <w:sectPr>
          <w:headerReference w:type="default" r:id="rId4"/>
          <w:pgSz w:w="11911" w:h="16838" w:orient="portrait"/>
          <w:pgMar w:top="1417" w:right="850" w:bottom="1417" w:left="850" w:header="720" w:footer="720" w:gutter="0"/>
          <w:paperSrc w:first="0" w:other="0"/>
          <w:cols w:space="708"/>
          <w:titlePg w:val="0"/>
          <w:rtlGutter w:val="0"/>
          <w:docGrid w:charSpace="0"/>
        </w:sectPr>
      </w:pPr>
    </w:p>
    <w:p>
      <w:pPr>
        <w:pStyle w:val="ListParagraph"/>
        <w:numPr>
          <w:ilvl w:val="0"/>
          <w:numId w:val="0"/>
        </w:numPr>
        <w:tabs>
          <w:tab w:val="left" w:pos="714"/>
        </w:tabs>
        <w:spacing w:before="0" w:line="240" w:lineRule="auto"/>
        <w:jc w:val="center"/>
        <w:rPr>
          <w:rFonts w:ascii="宋体" w:hAnsi="宋体" w:cs="宋体" w:hint="eastAsia"/>
          <w:b/>
          <w:bCs/>
          <w:sz w:val="28"/>
          <w:szCs w:val="28"/>
        </w:rPr>
      </w:pPr>
      <w:r>
        <w:rPr>
          <w:rFonts w:ascii="黑体" w:eastAsia="黑体" w:hint="eastAsia"/>
          <w:sz w:val="36"/>
          <w:lang w:val="en-US" w:eastAsia="zh-CN"/>
        </w:rPr>
        <w:t>4.</w:t>
      </w:r>
      <w:r>
        <w:rPr>
          <w:rFonts w:ascii="黑体" w:eastAsia="黑体" w:hint="eastAsia"/>
          <w:sz w:val="36"/>
        </w:rPr>
        <w:t>申</w:t>
      </w:r>
      <w:r>
        <w:rPr>
          <w:rFonts w:ascii="黑体" w:eastAsia="黑体" w:hint="eastAsia"/>
          <w:sz w:val="36"/>
          <w:lang w:eastAsia="zh-CN"/>
        </w:rPr>
        <w:t>请增设专业人才培养方案</w:t>
      </w:r>
    </w:p>
    <w:p>
      <w:pPr>
        <w:keepNext w:val="0"/>
        <w:keepLines w:val="0"/>
        <w:pageBreakBefore w:val="0"/>
        <w:widowControl w:val="0"/>
        <w:kinsoku/>
        <w:wordWrap/>
        <w:overflowPunct/>
        <w:topLinePunct w:val="0"/>
        <w:autoSpaceDE/>
        <w:autoSpaceDN/>
        <w:bidi w:val="0"/>
        <w:adjustRightInd/>
        <w:snapToGrid/>
        <w:spacing w:after="156" w:afterLines="50" w:line="360" w:lineRule="auto"/>
        <w:ind w:left="0" w:right="0" w:firstLine="0" w:leftChars="0" w:rightChars="0" w:firstLineChars="0"/>
        <w:jc w:val="center"/>
        <w:textAlignment w:val="auto"/>
        <w:outlineLvl w:val="0"/>
        <w:rPr>
          <w:rFonts w:ascii="宋体" w:eastAsia="宋体" w:hAnsi="宋体" w:cs="宋体" w:hint="eastAsia"/>
          <w:b/>
          <w:bCs/>
          <w:color w:val="000000"/>
          <w:sz w:val="28"/>
          <w:szCs w:val="28"/>
        </w:rPr>
      </w:pPr>
      <w:r>
        <w:rPr>
          <w:rFonts w:eastAsia="宋体" w:cs="宋体" w:hint="eastAsia"/>
          <w:b/>
          <w:bCs/>
          <w:color w:val="000000"/>
          <w:sz w:val="28"/>
          <w:szCs w:val="28"/>
          <w:lang w:val="en-US" w:eastAsia="zh-CN"/>
        </w:rPr>
        <w:t>表演</w:t>
      </w:r>
      <w:r>
        <w:rPr>
          <w:rFonts w:ascii="宋体" w:eastAsia="宋体" w:hAnsi="宋体" w:cs="宋体" w:hint="eastAsia"/>
          <w:b/>
          <w:bCs/>
          <w:color w:val="000000"/>
          <w:sz w:val="28"/>
          <w:szCs w:val="28"/>
        </w:rPr>
        <w:t>专业本科人才培养方案</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ascii="宋体" w:hAnsi="宋体" w:cs="宋体"/>
          <w:b/>
          <w:color w:val="auto"/>
          <w:sz w:val="28"/>
          <w:szCs w:val="28"/>
        </w:rPr>
      </w:pPr>
      <w:r>
        <w:rPr>
          <w:rFonts w:ascii="宋体" w:hAnsi="宋体" w:cs="宋体" w:hint="eastAsia"/>
          <w:b/>
          <w:color w:val="auto"/>
          <w:sz w:val="28"/>
          <w:szCs w:val="28"/>
        </w:rPr>
        <w:t>一、专业代码</w:t>
      </w:r>
    </w:p>
    <w:p>
      <w:pPr>
        <w:pStyle w:val="p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firstLine="1120" w:rightChars="0" w:firstLineChars="400"/>
        <w:jc w:val="both"/>
        <w:textAlignment w:val="auto"/>
        <w:outlineLvl w:val="9"/>
        <w:rPr>
          <w:rFonts w:ascii="宋体" w:eastAsia="宋体" w:hAnsi="宋体" w:cs="宋体" w:hint="eastAsia"/>
          <w:bCs/>
          <w:color w:val="auto"/>
          <w:sz w:val="28"/>
          <w:szCs w:val="28"/>
          <w:lang w:eastAsia="zh-CN"/>
        </w:rPr>
      </w:pPr>
      <w:r>
        <w:rPr>
          <w:rFonts w:ascii="宋体" w:hAnsi="宋体" w:cs="宋体" w:hint="eastAsia"/>
          <w:bCs/>
          <w:color w:val="auto"/>
          <w:sz w:val="28"/>
          <w:szCs w:val="28"/>
        </w:rPr>
        <w:t>13030</w:t>
      </w:r>
      <w:r>
        <w:rPr>
          <w:rFonts w:cs="宋体" w:hint="eastAsia"/>
          <w:bCs/>
          <w:color w:val="auto"/>
          <w:sz w:val="28"/>
          <w:szCs w:val="28"/>
          <w:lang w:val="en-US" w:eastAsia="zh-CN"/>
        </w:rPr>
        <w:t>1</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rPr>
          <w:rFonts w:ascii="宋体" w:hAnsi="宋体" w:cs="宋体" w:hint="eastAsia"/>
          <w:b/>
          <w:color w:val="auto"/>
          <w:sz w:val="28"/>
          <w:szCs w:val="28"/>
        </w:rPr>
      </w:pPr>
      <w:r>
        <w:rPr>
          <w:rFonts w:ascii="宋体" w:hAnsi="宋体" w:cs="宋体" w:hint="eastAsia"/>
          <w:b/>
          <w:color w:val="auto"/>
          <w:sz w:val="28"/>
          <w:szCs w:val="28"/>
        </w:rPr>
        <w:t>二、培养目标与发展预期</w:t>
      </w:r>
    </w:p>
    <w:p>
      <w:pPr>
        <w:pStyle w:val="reader-word-layer"/>
        <w:shd w:val="clear" w:color="auto" w:fill="FFFFFF"/>
        <w:spacing w:before="0" w:beforeAutospacing="0" w:after="0" w:afterAutospacing="0" w:line="360" w:lineRule="auto"/>
        <w:ind w:firstLine="480" w:firstLineChars="200"/>
        <w:rPr>
          <w:rFonts w:hint="eastAsia"/>
          <w:color w:val="auto"/>
          <w:szCs w:val="28"/>
          <w:lang w:eastAsia="zh-CN"/>
        </w:rPr>
      </w:pPr>
      <w:r>
        <w:rPr>
          <w:rFonts w:hint="eastAsia"/>
          <w:color w:val="auto"/>
          <w:szCs w:val="28"/>
        </w:rPr>
        <w:t>本专业培养</w:t>
      </w:r>
      <w:r>
        <w:rPr>
          <w:rFonts w:hint="eastAsia"/>
          <w:color w:val="auto"/>
          <w:szCs w:val="28"/>
          <w:lang w:eastAsia="zh-CN"/>
        </w:rPr>
        <w:t>立足地方，服务京津冀</w:t>
      </w:r>
      <w:r>
        <w:rPr>
          <w:rFonts w:hint="eastAsia"/>
          <w:color w:val="auto"/>
          <w:szCs w:val="28"/>
        </w:rPr>
        <w:t>区域经济社会发展需要，德、智、体、美</w:t>
      </w:r>
      <w:r>
        <w:rPr>
          <w:rFonts w:hint="eastAsia"/>
          <w:color w:val="auto"/>
          <w:szCs w:val="28"/>
          <w:lang w:eastAsia="zh-CN"/>
        </w:rPr>
        <w:t>、劳</w:t>
      </w:r>
      <w:r>
        <w:rPr>
          <w:rFonts w:hint="eastAsia"/>
          <w:color w:val="auto"/>
          <w:szCs w:val="28"/>
        </w:rPr>
        <w:t>全面发展，</w:t>
      </w:r>
      <w:r>
        <w:rPr>
          <w:rFonts w:hint="eastAsia"/>
          <w:color w:val="auto"/>
          <w:szCs w:val="28"/>
          <w:lang w:eastAsia="zh-CN"/>
        </w:rPr>
        <w:t>具有一定的科学文化水平，良好的人文素养、职业道德和创新意识，精益求精的工匠精神，较强的就业能力和可持续发展的能力；掌握本专业知识和技术技能，面向文化艺术和教育行业的电影电视演员、戏剧戏曲演员、群众文化活动服务人员等职业群，能够从事电影电视表演、话剧表演、群众文化指导、礼仪主持、文化艺术培训等工作的</w:t>
      </w:r>
      <w:r>
        <w:rPr>
          <w:rFonts w:hint="eastAsia"/>
          <w:lang w:val="en-US" w:eastAsia="zh-CN"/>
        </w:rPr>
        <w:t>应用型专门人才</w:t>
      </w:r>
      <w:r>
        <w:rPr>
          <w:rFonts w:hint="eastAsia"/>
          <w:color w:val="auto"/>
          <w:szCs w:val="28"/>
          <w:lang w:eastAsia="zh-CN"/>
        </w:rPr>
        <w:t>。</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color w:val="auto"/>
          <w:szCs w:val="28"/>
        </w:rPr>
      </w:pPr>
      <w:r>
        <w:rPr>
          <w:rFonts w:hint="eastAsia"/>
          <w:color w:val="auto"/>
          <w:szCs w:val="28"/>
        </w:rPr>
        <w:t>本专业学生毕业后5年左右，预期达到以下目标：</w:t>
      </w:r>
    </w:p>
    <w:p>
      <w:pPr>
        <w:spacing w:line="360" w:lineRule="auto"/>
        <w:ind w:firstLine="416" w:firstLineChars="189"/>
        <w:rPr>
          <w:rFonts w:ascii="宋体" w:hAnsi="宋体" w:cs="Times New Roman" w:hint="eastAsia"/>
          <w:color w:val="auto"/>
          <w:kern w:val="0"/>
          <w:sz w:val="24"/>
          <w:szCs w:val="28"/>
          <w:lang w:val="zh-CN" w:eastAsia="zh-CN" w:bidi="zh-CN"/>
        </w:rPr>
      </w:pPr>
      <w:r>
        <w:rPr>
          <w:rFonts w:hint="eastAsia"/>
          <w:color w:val="auto"/>
          <w:szCs w:val="28"/>
        </w:rPr>
        <w:t>1.</w:t>
      </w:r>
      <w:r>
        <w:rPr>
          <w:rFonts w:ascii="宋体" w:hAnsi="宋体" w:cs="Times New Roman" w:hint="eastAsia"/>
          <w:color w:val="auto"/>
          <w:kern w:val="0"/>
          <w:sz w:val="24"/>
          <w:szCs w:val="28"/>
          <w:lang w:val="zh-CN" w:eastAsia="zh-CN" w:bidi="zh-CN"/>
        </w:rPr>
        <w:t>掌握表演相关领域的戏剧影</w:t>
      </w:r>
      <w:r>
        <w:rPr>
          <w:rFonts w:ascii="宋体" w:hAnsi="宋体" w:cs="宋体" w:hint="eastAsia"/>
          <w:color w:val="auto"/>
          <w:kern w:val="0"/>
          <w:sz w:val="24"/>
          <w:szCs w:val="28"/>
          <w:lang w:val="zh-CN" w:eastAsia="zh-CN" w:bidi="zh-CN"/>
        </w:rPr>
        <w:t>视史、戏剧影视作品分析理论</w:t>
      </w:r>
      <w:r>
        <w:rPr>
          <w:rFonts w:hint="eastAsia"/>
          <w:color w:val="auto"/>
          <w:szCs w:val="28"/>
        </w:rPr>
        <w:t>知识，</w:t>
      </w:r>
      <w:r>
        <w:rPr>
          <w:rFonts w:ascii="宋体" w:hAnsi="宋体" w:cs="宋体" w:hint="eastAsia"/>
          <w:color w:val="auto"/>
          <w:kern w:val="0"/>
          <w:sz w:val="24"/>
          <w:szCs w:val="28"/>
          <w:lang w:val="zh-CN" w:eastAsia="zh-CN" w:bidi="zh-CN"/>
        </w:rPr>
        <w:t>掌握台词的气、声、字、意，吐字归音以及方言等相关理论和知识</w:t>
      </w:r>
      <w:r>
        <w:rPr>
          <w:rFonts w:hint="eastAsia"/>
          <w:color w:val="auto"/>
          <w:szCs w:val="28"/>
        </w:rPr>
        <w:t>，</w:t>
      </w:r>
      <w:r>
        <w:rPr>
          <w:rFonts w:ascii="宋体" w:hAnsi="宋体" w:cs="Times New Roman" w:hint="eastAsia"/>
          <w:color w:val="auto"/>
          <w:kern w:val="0"/>
          <w:sz w:val="24"/>
          <w:szCs w:val="28"/>
          <w:lang w:val="zh-CN" w:eastAsia="zh-CN" w:bidi="zh-CN"/>
        </w:rPr>
        <w:t>掌握话剧舞台表演、镜头前表演的理论知识，能对表演相关</w:t>
      </w:r>
      <w:r>
        <w:rPr>
          <w:rFonts w:ascii="宋体" w:hAnsi="宋体" w:cs="Times New Roman" w:hint="eastAsia"/>
          <w:color w:val="auto"/>
          <w:kern w:val="0"/>
          <w:sz w:val="24"/>
          <w:szCs w:val="28"/>
          <w:lang w:val="en-US" w:eastAsia="zh-CN" w:bidi="zh-CN"/>
        </w:rPr>
        <w:t>问题</w:t>
      </w:r>
      <w:r>
        <w:rPr>
          <w:rFonts w:ascii="宋体" w:hAnsi="宋体" w:cs="Times New Roman" w:hint="eastAsia"/>
          <w:color w:val="auto"/>
          <w:kern w:val="0"/>
          <w:sz w:val="24"/>
          <w:szCs w:val="28"/>
          <w:lang w:val="zh-CN" w:eastAsia="zh-CN" w:bidi="zh-CN"/>
        </w:rPr>
        <w:t>提供系统性的解决方案；</w:t>
      </w:r>
    </w:p>
    <w:p>
      <w:pPr>
        <w:spacing w:line="360" w:lineRule="auto"/>
        <w:ind w:firstLine="454" w:firstLineChars="189"/>
        <w:rPr>
          <w:rFonts w:ascii="宋体" w:hAnsi="宋体" w:cs="Times New Roman" w:hint="eastAsia"/>
          <w:color w:val="auto"/>
          <w:kern w:val="0"/>
          <w:sz w:val="24"/>
          <w:szCs w:val="28"/>
          <w:lang w:val="zh-CN" w:eastAsia="zh-CN" w:bidi="zh-CN"/>
        </w:rPr>
      </w:pPr>
      <w:r>
        <w:rPr>
          <w:rFonts w:ascii="宋体" w:hAnsi="宋体" w:cs="Times New Roman" w:hint="eastAsia"/>
          <w:color w:val="auto"/>
          <w:kern w:val="0"/>
          <w:sz w:val="24"/>
          <w:szCs w:val="28"/>
          <w:lang w:val="zh-CN" w:eastAsia="zh-CN" w:bidi="zh-CN"/>
        </w:rPr>
        <w:t>2.能够跟踪</w:t>
      </w:r>
      <w:r>
        <w:rPr>
          <w:rFonts w:cs="Times New Roman" w:hint="eastAsia"/>
          <w:color w:val="auto"/>
          <w:kern w:val="0"/>
          <w:sz w:val="24"/>
          <w:szCs w:val="28"/>
          <w:lang w:val="zh-CN" w:eastAsia="zh-CN" w:bidi="zh-CN"/>
        </w:rPr>
        <w:t>表演</w:t>
      </w:r>
      <w:r>
        <w:rPr>
          <w:rFonts w:ascii="宋体" w:hAnsi="宋体" w:cs="Times New Roman" w:hint="eastAsia"/>
          <w:color w:val="auto"/>
          <w:kern w:val="0"/>
          <w:sz w:val="24"/>
          <w:szCs w:val="28"/>
          <w:lang w:val="zh-CN" w:eastAsia="zh-CN" w:bidi="zh-CN"/>
        </w:rPr>
        <w:t>及相关领域的前沿技术，具备初步的</w:t>
      </w:r>
      <w:r>
        <w:rPr>
          <w:rFonts w:cs="Times New Roman" w:hint="eastAsia"/>
          <w:color w:val="auto"/>
          <w:kern w:val="0"/>
          <w:sz w:val="24"/>
          <w:szCs w:val="28"/>
          <w:lang w:val="zh-CN" w:eastAsia="zh-CN" w:bidi="zh-CN"/>
        </w:rPr>
        <w:t>影视表演</w:t>
      </w:r>
      <w:r>
        <w:rPr>
          <w:rFonts w:ascii="宋体" w:hAnsi="宋体" w:cs="Times New Roman" w:hint="eastAsia"/>
          <w:color w:val="auto"/>
          <w:kern w:val="0"/>
          <w:sz w:val="24"/>
          <w:szCs w:val="28"/>
          <w:lang w:val="zh-CN" w:eastAsia="zh-CN" w:bidi="zh-CN"/>
        </w:rPr>
        <w:t>和较强的实践能力，能够运用现代工具从事本领域相关影视剧和话剧创作；</w:t>
      </w:r>
    </w:p>
    <w:p>
      <w:pPr>
        <w:spacing w:line="360" w:lineRule="auto"/>
        <w:ind w:firstLine="454" w:firstLineChars="189"/>
        <w:rPr>
          <w:rFonts w:ascii="宋体" w:hAnsi="宋体" w:cs="Times New Roman" w:hint="eastAsia"/>
          <w:color w:val="auto"/>
          <w:kern w:val="0"/>
          <w:sz w:val="24"/>
          <w:szCs w:val="28"/>
          <w:lang w:val="zh-CN" w:eastAsia="zh-CN" w:bidi="zh-CN"/>
        </w:rPr>
      </w:pPr>
      <w:r>
        <w:rPr>
          <w:rFonts w:ascii="宋体" w:hAnsi="宋体" w:cs="Times New Roman" w:hint="eastAsia"/>
          <w:color w:val="auto"/>
          <w:kern w:val="0"/>
          <w:sz w:val="24"/>
          <w:szCs w:val="28"/>
          <w:lang w:val="zh-CN" w:eastAsia="zh-CN" w:bidi="zh-CN"/>
        </w:rPr>
        <w:t>3.具有较强的社会责任感、良好的职业道德和人文科学素养。在工作中具有较强沟通交流能力和组织管理能力，能够从事</w:t>
      </w:r>
      <w:r>
        <w:rPr>
          <w:rFonts w:cs="Times New Roman" w:hint="eastAsia"/>
          <w:color w:val="auto"/>
          <w:kern w:val="0"/>
          <w:sz w:val="24"/>
          <w:szCs w:val="28"/>
          <w:lang w:val="zh-CN" w:eastAsia="zh-CN" w:bidi="zh-CN"/>
        </w:rPr>
        <w:t>话剧表演、影视表演、文艺演出</w:t>
      </w:r>
      <w:r>
        <w:rPr>
          <w:rFonts w:ascii="宋体" w:hAnsi="宋体" w:cs="Times New Roman" w:hint="eastAsia"/>
          <w:color w:val="auto"/>
          <w:kern w:val="0"/>
          <w:sz w:val="24"/>
          <w:szCs w:val="28"/>
          <w:lang w:val="zh-CN" w:eastAsia="zh-CN" w:bidi="zh-CN"/>
        </w:rPr>
        <w:t>等工作；</w:t>
      </w:r>
    </w:p>
    <w:p>
      <w:pPr>
        <w:spacing w:line="360" w:lineRule="auto"/>
        <w:ind w:firstLine="454" w:firstLineChars="189"/>
        <w:rPr>
          <w:color w:val="auto"/>
          <w:szCs w:val="28"/>
        </w:rPr>
      </w:pPr>
      <w:r>
        <w:rPr>
          <w:rFonts w:ascii="宋体" w:hAnsi="宋体" w:cs="Times New Roman" w:hint="eastAsia"/>
          <w:color w:val="auto"/>
          <w:kern w:val="0"/>
          <w:sz w:val="24"/>
          <w:szCs w:val="28"/>
          <w:lang w:val="zh-CN" w:eastAsia="zh-CN" w:bidi="zh-CN"/>
        </w:rPr>
        <w:t>4.能够积极主动适应不断变化的国内外形势和环境，拥有终身学习习惯和能</w:t>
      </w:r>
      <w:r>
        <w:rPr>
          <w:rFonts w:hint="eastAsia"/>
          <w:color w:val="auto"/>
          <w:szCs w:val="28"/>
        </w:rPr>
        <w:t>力。</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ascii="宋体" w:hAnsi="宋体" w:cs="宋体"/>
          <w:b/>
          <w:color w:val="auto"/>
          <w:kern w:val="0"/>
          <w:sz w:val="28"/>
          <w:szCs w:val="28"/>
        </w:rPr>
      </w:pPr>
      <w:r>
        <w:rPr>
          <w:rFonts w:ascii="宋体" w:hAnsi="宋体" w:cs="宋体" w:hint="eastAsia"/>
          <w:b/>
          <w:color w:val="auto"/>
          <w:kern w:val="0"/>
          <w:sz w:val="28"/>
          <w:szCs w:val="28"/>
        </w:rPr>
        <w:t>三、毕业要求和教学活动权重设置</w:t>
      </w:r>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rPr>
          <w:rFonts w:ascii="宋体" w:hAnsi="宋体" w:cs="宋体"/>
          <w:b/>
          <w:color w:val="auto"/>
          <w:sz w:val="28"/>
          <w:szCs w:val="28"/>
        </w:rPr>
      </w:pPr>
      <w:r>
        <w:rPr>
          <w:rFonts w:ascii="宋体" w:hAnsi="宋体" w:cs="宋体" w:hint="eastAsia"/>
          <w:b/>
          <w:color w:val="auto"/>
          <w:sz w:val="28"/>
          <w:szCs w:val="28"/>
        </w:rPr>
        <w:t>（一）毕业要求</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eastAsia"/>
          <w:color w:val="auto"/>
          <w:szCs w:val="28"/>
        </w:rPr>
      </w:pPr>
      <w:r>
        <w:rPr>
          <w:rFonts w:hint="eastAsia"/>
          <w:color w:val="auto"/>
          <w:szCs w:val="28"/>
        </w:rPr>
        <w:t>通过系统的课内外学习和专业训练，毕业生应获得以下几个方面的知识和能力：</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1.</w:t>
      </w:r>
      <w:r>
        <w:rPr>
          <w:rFonts w:ascii="宋体" w:hAnsi="宋体" w:cs="宋体" w:hint="eastAsia"/>
          <w:b/>
          <w:color w:val="auto"/>
          <w:sz w:val="24"/>
          <w:szCs w:val="28"/>
        </w:rPr>
        <w:t>能够掌握本专业所需的</w:t>
      </w:r>
      <w:r>
        <w:rPr>
          <w:rFonts w:ascii="宋体" w:hAnsi="宋体" w:cs="宋体" w:hint="eastAsia"/>
          <w:b/>
          <w:color w:val="auto"/>
          <w:sz w:val="24"/>
          <w:szCs w:val="28"/>
          <w:lang w:val="en-US" w:eastAsia="zh-CN"/>
        </w:rPr>
        <w:t>的</w:t>
      </w:r>
      <w:r>
        <w:rPr>
          <w:rFonts w:cs="宋体" w:hint="eastAsia"/>
          <w:b/>
          <w:color w:val="auto"/>
          <w:sz w:val="24"/>
          <w:szCs w:val="28"/>
          <w:lang w:val="en-US" w:eastAsia="zh-CN"/>
        </w:rPr>
        <w:t>声乐、台词、形体、表演等</w:t>
      </w:r>
      <w:r>
        <w:rPr>
          <w:rFonts w:ascii="宋体" w:hAnsi="宋体" w:cs="宋体" w:hint="eastAsia"/>
          <w:b/>
          <w:color w:val="auto"/>
          <w:sz w:val="24"/>
          <w:szCs w:val="28"/>
        </w:rPr>
        <w:t>专业知识，形成的专业知识体系，并运用到</w:t>
      </w:r>
      <w:r>
        <w:rPr>
          <w:rFonts w:cs="宋体" w:hint="eastAsia"/>
          <w:b/>
          <w:color w:val="auto"/>
          <w:sz w:val="24"/>
          <w:szCs w:val="28"/>
          <w:lang w:eastAsia="zh-CN"/>
        </w:rPr>
        <w:t>话剧表演、影视表演</w:t>
      </w:r>
      <w:r>
        <w:rPr>
          <w:rFonts w:ascii="宋体" w:hAnsi="宋体" w:cs="宋体" w:hint="eastAsia"/>
          <w:b/>
          <w:color w:val="auto"/>
          <w:sz w:val="24"/>
          <w:szCs w:val="28"/>
        </w:rPr>
        <w:t>等</w:t>
      </w:r>
      <w:r>
        <w:rPr>
          <w:rFonts w:cs="宋体" w:hint="eastAsia"/>
          <w:b/>
          <w:color w:val="auto"/>
          <w:sz w:val="24"/>
          <w:szCs w:val="28"/>
          <w:lang w:eastAsia="zh-CN"/>
        </w:rPr>
        <w:t>场合</w:t>
      </w:r>
      <w:r>
        <w:rPr>
          <w:rFonts w:ascii="宋体" w:hAnsi="宋体" w:cs="宋体" w:hint="eastAsia"/>
          <w:b/>
          <w:color w:val="auto"/>
          <w:sz w:val="24"/>
          <w:szCs w:val="28"/>
        </w:rPr>
        <w:t>中。</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1.</w:t>
      </w:r>
      <w:r>
        <w:rPr>
          <w:rFonts w:ascii="宋体" w:eastAsia="宋体" w:hAnsi="宋体" w:cs="宋体" w:hint="eastAsia"/>
          <w:color w:val="auto"/>
          <w:sz w:val="24"/>
          <w:lang w:val="en-US" w:eastAsia="zh-CN"/>
        </w:rPr>
        <w:t>1</w:t>
      </w:r>
      <w:r>
        <w:rPr>
          <w:rFonts w:ascii="宋体" w:eastAsia="宋体" w:hAnsi="宋体" w:cs="宋体" w:hint="eastAsia"/>
          <w:color w:val="auto"/>
          <w:sz w:val="24"/>
        </w:rPr>
        <w:t>具有</w:t>
      </w:r>
      <w:r>
        <w:rPr>
          <w:rFonts w:eastAsia="宋体" w:cs="宋体" w:hint="eastAsia"/>
          <w:color w:val="auto"/>
          <w:sz w:val="24"/>
          <w:lang w:eastAsia="zh-CN"/>
        </w:rPr>
        <w:t>表演</w:t>
      </w:r>
      <w:r>
        <w:rPr>
          <w:rFonts w:ascii="宋体" w:eastAsia="宋体" w:hAnsi="宋体" w:cs="宋体" w:hint="eastAsia"/>
          <w:color w:val="auto"/>
          <w:sz w:val="24"/>
          <w:lang w:val="en-US" w:eastAsia="zh-CN"/>
        </w:rPr>
        <w:t>的基础</w:t>
      </w:r>
      <w:r>
        <w:rPr>
          <w:rFonts w:ascii="宋体" w:eastAsia="宋体" w:hAnsi="宋体" w:cs="宋体" w:hint="eastAsia"/>
          <w:color w:val="auto"/>
          <w:sz w:val="24"/>
        </w:rPr>
        <w:t>知</w:t>
      </w:r>
      <w:r>
        <w:rPr>
          <w:rFonts w:ascii="宋体" w:eastAsia="宋体" w:hAnsi="宋体" w:cs="宋体" w:hint="eastAsia"/>
          <w:color w:val="auto"/>
          <w:sz w:val="24"/>
          <w:lang w:eastAsia="zh-CN"/>
        </w:rPr>
        <w:t>识；</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color w:val="auto"/>
          <w:sz w:val="18"/>
          <w:szCs w:val="18"/>
        </w:rPr>
      </w:pPr>
      <w:r>
        <w:rPr>
          <w:rFonts w:ascii="宋体" w:eastAsia="宋体" w:hAnsi="宋体" w:cs="宋体" w:hint="eastAsia"/>
          <w:color w:val="auto"/>
          <w:sz w:val="24"/>
        </w:rPr>
        <w:t>1.</w:t>
      </w:r>
      <w:r>
        <w:rPr>
          <w:rFonts w:ascii="宋体" w:eastAsia="宋体" w:hAnsi="宋体" w:cs="宋体" w:hint="eastAsia"/>
          <w:color w:val="auto"/>
          <w:sz w:val="24"/>
          <w:lang w:val="en-US" w:eastAsia="zh-CN"/>
        </w:rPr>
        <w:t>2</w:t>
      </w:r>
      <w:r>
        <w:rPr>
          <w:rFonts w:ascii="宋体" w:eastAsia="宋体" w:hAnsi="宋体" w:cs="宋体" w:hint="eastAsia"/>
          <w:color w:val="auto"/>
          <w:sz w:val="24"/>
        </w:rPr>
        <w:t>具有与</w:t>
      </w:r>
      <w:r>
        <w:rPr>
          <w:rFonts w:eastAsia="宋体" w:cs="宋体" w:hint="eastAsia"/>
          <w:color w:val="auto"/>
          <w:sz w:val="24"/>
          <w:lang w:eastAsia="zh-CN"/>
        </w:rPr>
        <w:t>戏剧影视、话剧表演</w:t>
      </w:r>
      <w:r>
        <w:rPr>
          <w:rFonts w:ascii="宋体" w:eastAsia="宋体" w:hAnsi="宋体" w:cs="宋体" w:hint="eastAsia"/>
          <w:color w:val="auto"/>
          <w:sz w:val="24"/>
        </w:rPr>
        <w:t>相关的</w:t>
      </w:r>
      <w:r>
        <w:rPr>
          <w:rFonts w:ascii="宋体" w:eastAsia="宋体" w:hAnsi="宋体" w:cs="宋体" w:hint="eastAsia"/>
          <w:color w:val="auto"/>
          <w:sz w:val="24"/>
          <w:lang w:val="en-US" w:eastAsia="zh-CN"/>
        </w:rPr>
        <w:t>专业</w:t>
      </w:r>
      <w:r>
        <w:rPr>
          <w:rFonts w:ascii="宋体" w:eastAsia="宋体" w:hAnsi="宋体" w:cs="宋体" w:hint="eastAsia"/>
          <w:color w:val="auto"/>
          <w:sz w:val="24"/>
        </w:rPr>
        <w:t>知识。</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2.</w:t>
      </w:r>
      <w:r>
        <w:rPr>
          <w:rFonts w:ascii="宋体" w:hAnsi="宋体" w:cs="宋体" w:hint="eastAsia"/>
          <w:b/>
          <w:color w:val="auto"/>
          <w:sz w:val="24"/>
          <w:szCs w:val="28"/>
        </w:rPr>
        <w:t>能够应用基本</w:t>
      </w:r>
      <w:r>
        <w:rPr>
          <w:rFonts w:ascii="宋体" w:hAnsi="宋体" w:cs="宋体" w:hint="eastAsia"/>
          <w:b/>
          <w:color w:val="auto"/>
          <w:sz w:val="24"/>
          <w:szCs w:val="28"/>
          <w:lang w:val="en-US" w:eastAsia="zh-CN"/>
        </w:rPr>
        <w:t>的</w:t>
      </w:r>
      <w:r>
        <w:rPr>
          <w:rFonts w:cs="宋体" w:hint="eastAsia"/>
          <w:b/>
          <w:color w:val="auto"/>
          <w:sz w:val="24"/>
          <w:szCs w:val="28"/>
          <w:lang w:val="en-US" w:eastAsia="zh-CN"/>
        </w:rPr>
        <w:t>表演</w:t>
      </w:r>
      <w:r>
        <w:rPr>
          <w:rFonts w:ascii="宋体" w:hAnsi="宋体" w:cs="宋体" w:hint="eastAsia"/>
          <w:b/>
          <w:color w:val="auto"/>
          <w:sz w:val="24"/>
          <w:szCs w:val="28"/>
          <w:lang w:val="en-US" w:eastAsia="zh-CN"/>
        </w:rPr>
        <w:t>理论</w:t>
      </w:r>
      <w:r>
        <w:rPr>
          <w:rFonts w:ascii="宋体" w:hAnsi="宋体" w:cs="宋体" w:hint="eastAsia"/>
          <w:b/>
          <w:color w:val="auto"/>
          <w:sz w:val="24"/>
          <w:szCs w:val="28"/>
        </w:rPr>
        <w:t>，</w:t>
      </w:r>
      <w:r>
        <w:rPr>
          <w:rFonts w:ascii="宋体" w:hAnsi="宋体" w:cs="宋体" w:hint="eastAsia"/>
          <w:b/>
          <w:color w:val="auto"/>
          <w:sz w:val="24"/>
          <w:szCs w:val="28"/>
          <w:lang w:val="en-US" w:eastAsia="zh-CN"/>
        </w:rPr>
        <w:t>探索、</w:t>
      </w:r>
      <w:r>
        <w:rPr>
          <w:rFonts w:ascii="宋体" w:hAnsi="宋体" w:cs="宋体" w:hint="eastAsia"/>
          <w:b/>
          <w:color w:val="auto"/>
          <w:sz w:val="24"/>
          <w:szCs w:val="28"/>
        </w:rPr>
        <w:t>表述</w:t>
      </w:r>
      <w:r>
        <w:rPr>
          <w:rFonts w:cs="宋体" w:hint="eastAsia"/>
          <w:b/>
          <w:color w:val="auto"/>
          <w:sz w:val="24"/>
          <w:szCs w:val="28"/>
          <w:lang w:eastAsia="zh-CN"/>
        </w:rPr>
        <w:t>表演</w:t>
      </w:r>
      <w:r>
        <w:rPr>
          <w:rFonts w:ascii="宋体" w:hAnsi="宋体" w:cs="宋体" w:hint="eastAsia"/>
          <w:b/>
          <w:color w:val="auto"/>
          <w:sz w:val="24"/>
          <w:szCs w:val="28"/>
        </w:rPr>
        <w:t>相关的问题，并通过文献研究分析获得有效结论。</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2.1能够应用</w:t>
      </w:r>
      <w:r>
        <w:rPr>
          <w:rFonts w:eastAsia="宋体" w:cs="宋体" w:hint="eastAsia"/>
          <w:color w:val="auto"/>
          <w:sz w:val="24"/>
          <w:lang w:eastAsia="zh-CN"/>
        </w:rPr>
        <w:t>表演</w:t>
      </w:r>
      <w:r>
        <w:rPr>
          <w:rFonts w:ascii="宋体" w:eastAsia="宋体" w:hAnsi="宋体" w:cs="宋体" w:hint="eastAsia"/>
          <w:color w:val="auto"/>
          <w:sz w:val="24"/>
        </w:rPr>
        <w:t>的基本</w:t>
      </w:r>
      <w:r>
        <w:rPr>
          <w:rFonts w:ascii="宋体" w:eastAsia="宋体" w:hAnsi="宋体" w:cs="宋体" w:hint="eastAsia"/>
          <w:color w:val="auto"/>
          <w:sz w:val="24"/>
          <w:lang w:val="en-US" w:eastAsia="zh-CN"/>
        </w:rPr>
        <w:t>理论</w:t>
      </w:r>
      <w:r>
        <w:rPr>
          <w:rFonts w:ascii="宋体" w:eastAsia="宋体" w:hAnsi="宋体" w:cs="宋体" w:hint="eastAsia"/>
          <w:color w:val="auto"/>
          <w:sz w:val="24"/>
        </w:rPr>
        <w:t>，分析</w:t>
      </w:r>
      <w:r>
        <w:rPr>
          <w:rFonts w:eastAsia="宋体" w:cs="宋体" w:hint="eastAsia"/>
          <w:color w:val="auto"/>
          <w:sz w:val="24"/>
          <w:lang w:eastAsia="zh-CN"/>
        </w:rPr>
        <w:t>台词</w:t>
      </w:r>
      <w:r>
        <w:rPr>
          <w:rFonts w:ascii="宋体" w:eastAsia="宋体" w:hAnsi="宋体" w:cs="宋体" w:hint="eastAsia"/>
          <w:color w:val="auto"/>
          <w:sz w:val="24"/>
        </w:rPr>
        <w:t>、</w:t>
      </w:r>
      <w:r>
        <w:rPr>
          <w:rFonts w:eastAsia="宋体" w:cs="宋体" w:hint="eastAsia"/>
          <w:color w:val="auto"/>
          <w:sz w:val="24"/>
          <w:lang w:eastAsia="zh-CN"/>
        </w:rPr>
        <w:t>形体</w:t>
      </w:r>
      <w:r>
        <w:rPr>
          <w:rFonts w:ascii="宋体" w:eastAsia="宋体" w:hAnsi="宋体" w:cs="宋体" w:hint="eastAsia"/>
          <w:color w:val="auto"/>
          <w:sz w:val="24"/>
        </w:rPr>
        <w:t>、</w:t>
      </w:r>
      <w:r>
        <w:rPr>
          <w:rFonts w:eastAsia="宋体" w:cs="宋体" w:hint="eastAsia"/>
          <w:color w:val="auto"/>
          <w:sz w:val="24"/>
          <w:lang w:eastAsia="zh-CN"/>
        </w:rPr>
        <w:t>影视表演创作</w:t>
      </w:r>
      <w:r>
        <w:rPr>
          <w:rFonts w:ascii="宋体" w:eastAsia="宋体" w:hAnsi="宋体" w:cs="宋体" w:hint="eastAsia"/>
          <w:color w:val="auto"/>
          <w:sz w:val="24"/>
        </w:rPr>
        <w:t>等问题</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2.2具有文献检索及运用现代信息技术获取相关信息的能力</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2.3能够通过抽象的、创造性的分析以创建合适的</w:t>
      </w:r>
      <w:r>
        <w:rPr>
          <w:rFonts w:eastAsia="宋体" w:cs="宋体" w:hint="eastAsia"/>
          <w:color w:val="auto"/>
          <w:sz w:val="24"/>
          <w:lang w:eastAsia="zh-CN"/>
        </w:rPr>
        <w:t>剧目表演</w:t>
      </w:r>
      <w:r>
        <w:rPr>
          <w:rFonts w:ascii="宋体" w:eastAsia="宋体" w:hAnsi="宋体" w:cs="宋体" w:hint="eastAsia"/>
          <w:color w:val="auto"/>
          <w:sz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3.</w:t>
      </w:r>
      <w:r>
        <w:rPr>
          <w:rFonts w:ascii="宋体" w:hAnsi="宋体" w:cs="宋体" w:hint="eastAsia"/>
          <w:b/>
          <w:color w:val="auto"/>
          <w:sz w:val="24"/>
          <w:szCs w:val="28"/>
        </w:rPr>
        <w:t>在解决</w:t>
      </w:r>
      <w:r>
        <w:rPr>
          <w:rFonts w:cs="宋体" w:hint="eastAsia"/>
          <w:b/>
          <w:color w:val="auto"/>
          <w:sz w:val="24"/>
          <w:szCs w:val="28"/>
          <w:lang w:eastAsia="zh-CN"/>
        </w:rPr>
        <w:t>表演</w:t>
      </w:r>
      <w:r>
        <w:rPr>
          <w:rFonts w:ascii="宋体" w:hAnsi="宋体" w:cs="宋体" w:hint="eastAsia"/>
          <w:b/>
          <w:color w:val="auto"/>
          <w:sz w:val="24"/>
          <w:szCs w:val="28"/>
        </w:rPr>
        <w:t>问题中，提出合理解决方案，具有综合运用理论和技术手段提高</w:t>
      </w:r>
      <w:r>
        <w:rPr>
          <w:rFonts w:cs="宋体" w:hint="eastAsia"/>
          <w:b/>
          <w:color w:val="auto"/>
          <w:sz w:val="24"/>
          <w:szCs w:val="28"/>
          <w:lang w:eastAsia="zh-CN"/>
        </w:rPr>
        <w:t>表演</w:t>
      </w:r>
      <w:r>
        <w:rPr>
          <w:rFonts w:ascii="宋体" w:hAnsi="宋体" w:cs="宋体" w:hint="eastAsia"/>
          <w:b/>
          <w:color w:val="auto"/>
          <w:sz w:val="24"/>
          <w:szCs w:val="28"/>
        </w:rPr>
        <w:t>的能力，并能够在</w:t>
      </w:r>
      <w:r>
        <w:rPr>
          <w:rFonts w:cs="宋体" w:hint="eastAsia"/>
          <w:b/>
          <w:color w:val="auto"/>
          <w:sz w:val="24"/>
          <w:szCs w:val="28"/>
          <w:lang w:eastAsia="zh-CN"/>
        </w:rPr>
        <w:t>表演</w:t>
      </w:r>
      <w:r>
        <w:rPr>
          <w:rFonts w:ascii="宋体" w:hAnsi="宋体" w:cs="宋体" w:hint="eastAsia"/>
          <w:b/>
          <w:color w:val="auto"/>
          <w:sz w:val="24"/>
          <w:szCs w:val="28"/>
        </w:rPr>
        <w:t>过程中体现创新意识，充分考虑经济、环境、法律、安全、健康、伦理等制约因素。</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3.1综合运用</w:t>
      </w:r>
      <w:r>
        <w:rPr>
          <w:rFonts w:eastAsia="宋体" w:cs="宋体" w:hint="eastAsia"/>
          <w:color w:val="auto"/>
          <w:sz w:val="24"/>
          <w:lang w:eastAsia="zh-CN"/>
        </w:rPr>
        <w:t>表演</w:t>
      </w:r>
      <w:r>
        <w:rPr>
          <w:rFonts w:ascii="宋体" w:eastAsia="宋体" w:hAnsi="宋体" w:cs="宋体" w:hint="eastAsia"/>
          <w:color w:val="auto"/>
          <w:sz w:val="24"/>
        </w:rPr>
        <w:t>专业基本理论，针对</w:t>
      </w:r>
      <w:r>
        <w:rPr>
          <w:rFonts w:eastAsia="宋体" w:cs="宋体" w:hint="eastAsia"/>
          <w:color w:val="auto"/>
          <w:sz w:val="24"/>
          <w:lang w:eastAsia="zh-CN"/>
        </w:rPr>
        <w:t>表演</w:t>
      </w:r>
      <w:r>
        <w:rPr>
          <w:rFonts w:ascii="宋体" w:eastAsia="宋体" w:hAnsi="宋体" w:cs="宋体" w:hint="eastAsia"/>
          <w:color w:val="auto"/>
          <w:sz w:val="24"/>
        </w:rPr>
        <w:t>过程中的问题提出解决方案，并体现创新意识</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3.2对</w:t>
      </w:r>
      <w:r>
        <w:rPr>
          <w:rFonts w:eastAsia="宋体" w:cs="宋体" w:hint="eastAsia"/>
          <w:color w:val="auto"/>
          <w:sz w:val="24"/>
          <w:lang w:val="en-US" w:eastAsia="zh-CN"/>
        </w:rPr>
        <w:t>表演</w:t>
      </w:r>
      <w:r>
        <w:rPr>
          <w:rFonts w:ascii="宋体" w:eastAsia="宋体" w:hAnsi="宋体" w:cs="宋体" w:hint="eastAsia"/>
          <w:color w:val="auto"/>
          <w:sz w:val="24"/>
          <w:lang w:val="en-US" w:eastAsia="zh-CN"/>
        </w:rPr>
        <w:t>中的</w:t>
      </w:r>
      <w:r>
        <w:rPr>
          <w:rFonts w:ascii="宋体" w:eastAsia="宋体" w:hAnsi="宋体" w:cs="宋体" w:hint="eastAsia"/>
          <w:color w:val="auto"/>
          <w:sz w:val="24"/>
        </w:rPr>
        <w:t>技术问题解决方案进行分析、论证，同时考虑经济、环境、法律、安全、健康、伦理等因素，确定方案的合理性</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3.3了解</w:t>
      </w:r>
      <w:r>
        <w:rPr>
          <w:rFonts w:eastAsia="宋体" w:cs="宋体" w:hint="eastAsia"/>
          <w:color w:val="auto"/>
          <w:sz w:val="24"/>
          <w:lang w:eastAsia="zh-CN"/>
        </w:rPr>
        <w:t>表演</w:t>
      </w:r>
      <w:r>
        <w:rPr>
          <w:rFonts w:ascii="宋体" w:eastAsia="宋体" w:hAnsi="宋体" w:cs="宋体" w:hint="eastAsia"/>
          <w:color w:val="auto"/>
          <w:sz w:val="24"/>
        </w:rPr>
        <w:t>过程相关技术标准，能够根据解决方案进行</w:t>
      </w:r>
      <w:r>
        <w:rPr>
          <w:rFonts w:eastAsia="宋体" w:cs="宋体" w:hint="eastAsia"/>
          <w:color w:val="auto"/>
          <w:sz w:val="24"/>
          <w:lang w:eastAsia="zh-CN"/>
        </w:rPr>
        <w:t>话剧、影视剧</w:t>
      </w:r>
      <w:r>
        <w:rPr>
          <w:rFonts w:ascii="宋体" w:eastAsia="宋体" w:hAnsi="宋体" w:cs="宋体" w:hint="eastAsia"/>
          <w:color w:val="auto"/>
          <w:sz w:val="24"/>
        </w:rPr>
        <w:t>的</w:t>
      </w:r>
      <w:r>
        <w:rPr>
          <w:rFonts w:eastAsia="宋体" w:cs="宋体" w:hint="eastAsia"/>
          <w:color w:val="auto"/>
          <w:sz w:val="24"/>
          <w:lang w:val="en-US" w:eastAsia="zh-CN"/>
        </w:rPr>
        <w:t>创</w:t>
      </w:r>
      <w:r>
        <w:rPr>
          <w:rFonts w:ascii="宋体" w:eastAsia="宋体" w:hAnsi="宋体" w:cs="宋体" w:hint="eastAsia"/>
          <w:color w:val="auto"/>
          <w:sz w:val="24"/>
        </w:rPr>
        <w:t>作。</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4.</w:t>
      </w:r>
      <w:r>
        <w:rPr>
          <w:rFonts w:ascii="宋体" w:hAnsi="宋体" w:cs="宋体" w:hint="eastAsia"/>
          <w:b/>
          <w:color w:val="auto"/>
          <w:sz w:val="24"/>
          <w:szCs w:val="28"/>
        </w:rPr>
        <w:t>能够基于基本的</w:t>
      </w:r>
      <w:r>
        <w:rPr>
          <w:rFonts w:cs="宋体" w:hint="eastAsia"/>
          <w:b/>
          <w:color w:val="auto"/>
          <w:sz w:val="24"/>
          <w:szCs w:val="28"/>
          <w:lang w:eastAsia="zh-CN"/>
        </w:rPr>
        <w:t>表演</w:t>
      </w:r>
      <w:r>
        <w:rPr>
          <w:rFonts w:ascii="宋体" w:hAnsi="宋体" w:cs="宋体" w:hint="eastAsia"/>
          <w:b/>
          <w:color w:val="auto"/>
          <w:sz w:val="24"/>
          <w:szCs w:val="28"/>
          <w:lang w:val="en-US" w:eastAsia="zh-CN"/>
        </w:rPr>
        <w:t>理论</w:t>
      </w:r>
      <w:r>
        <w:rPr>
          <w:rFonts w:ascii="宋体" w:hAnsi="宋体" w:cs="宋体" w:hint="eastAsia"/>
          <w:b/>
          <w:color w:val="auto"/>
          <w:sz w:val="24"/>
          <w:szCs w:val="28"/>
        </w:rPr>
        <w:t>和方法对</w:t>
      </w:r>
      <w:r>
        <w:rPr>
          <w:rFonts w:cs="宋体" w:hint="eastAsia"/>
          <w:b/>
          <w:color w:val="auto"/>
          <w:sz w:val="24"/>
          <w:szCs w:val="28"/>
          <w:lang w:eastAsia="zh-CN"/>
        </w:rPr>
        <w:t>表演</w:t>
      </w:r>
      <w:r>
        <w:rPr>
          <w:rFonts w:ascii="宋体" w:hAnsi="宋体" w:cs="宋体" w:hint="eastAsia"/>
          <w:b/>
          <w:color w:val="auto"/>
          <w:sz w:val="24"/>
          <w:szCs w:val="28"/>
        </w:rPr>
        <w:t>问题进行研究，包括调查分析、理论研究、数据分析与实验验证，并通过信息总和得到合理有效的结论。</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4.1能够独立完成</w:t>
      </w:r>
      <w:r>
        <w:rPr>
          <w:rFonts w:eastAsia="宋体" w:cs="宋体" w:hint="eastAsia"/>
          <w:color w:val="auto"/>
          <w:sz w:val="24"/>
          <w:lang w:eastAsia="zh-CN"/>
        </w:rPr>
        <w:t>表演</w:t>
      </w:r>
      <w:r>
        <w:rPr>
          <w:rFonts w:ascii="宋体" w:eastAsia="宋体" w:hAnsi="宋体" w:cs="宋体" w:hint="eastAsia"/>
          <w:color w:val="auto"/>
          <w:sz w:val="24"/>
          <w:lang w:eastAsia="zh-CN"/>
        </w:rPr>
        <w:t>相关</w:t>
      </w:r>
      <w:r>
        <w:rPr>
          <w:rFonts w:ascii="宋体" w:eastAsia="宋体" w:hAnsi="宋体" w:cs="宋体" w:hint="eastAsia"/>
          <w:color w:val="auto"/>
          <w:sz w:val="24"/>
        </w:rPr>
        <w:t>问题的理论分析，能够完成</w:t>
      </w:r>
      <w:r>
        <w:rPr>
          <w:rFonts w:eastAsia="宋体" w:cs="宋体" w:hint="eastAsia"/>
          <w:color w:val="auto"/>
          <w:sz w:val="24"/>
          <w:lang w:eastAsia="zh-CN"/>
        </w:rPr>
        <w:t>戏剧影视表演</w:t>
      </w:r>
      <w:r>
        <w:rPr>
          <w:rFonts w:ascii="宋体" w:eastAsia="宋体" w:hAnsi="宋体" w:cs="宋体" w:hint="eastAsia"/>
          <w:color w:val="auto"/>
          <w:sz w:val="24"/>
        </w:rPr>
        <w:t>的创作，并安全地开展实践</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4.2能够正确的采集、分析和整理实践数据</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4.3能够解释实验结果，并与理论进行比较分析</w:t>
      </w:r>
      <w:r>
        <w:rPr>
          <w:rFonts w:ascii="宋体" w:eastAsia="宋体" w:hAnsi="宋体" w:cs="宋体" w:hint="eastAsia"/>
          <w:color w:val="auto"/>
          <w:sz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5.</w:t>
      </w:r>
      <w:r>
        <w:rPr>
          <w:rFonts w:ascii="宋体" w:hAnsi="宋体" w:cs="宋体" w:hint="eastAsia"/>
          <w:b/>
          <w:color w:val="auto"/>
          <w:sz w:val="24"/>
          <w:szCs w:val="28"/>
        </w:rPr>
        <w:t>能够针对</w:t>
      </w:r>
      <w:r>
        <w:rPr>
          <w:rFonts w:cs="宋体" w:hint="eastAsia"/>
          <w:b/>
          <w:color w:val="auto"/>
          <w:sz w:val="24"/>
          <w:szCs w:val="28"/>
          <w:lang w:eastAsia="zh-CN"/>
        </w:rPr>
        <w:t>表演</w:t>
      </w:r>
      <w:r>
        <w:rPr>
          <w:rFonts w:ascii="宋体" w:hAnsi="宋体" w:cs="宋体" w:hint="eastAsia"/>
          <w:b/>
          <w:color w:val="auto"/>
          <w:sz w:val="24"/>
          <w:szCs w:val="28"/>
        </w:rPr>
        <w:t>问题，选择与使用恰当的技术、</w:t>
      </w:r>
      <w:r>
        <w:rPr>
          <w:rFonts w:ascii="宋体" w:hAnsi="宋体" w:cs="宋体" w:hint="eastAsia"/>
          <w:b/>
          <w:color w:val="auto"/>
          <w:sz w:val="24"/>
          <w:szCs w:val="28"/>
          <w:lang w:val="en-US" w:eastAsia="zh-CN"/>
        </w:rPr>
        <w:t>先进的传播</w:t>
      </w:r>
      <w:r>
        <w:rPr>
          <w:rFonts w:ascii="宋体" w:hAnsi="宋体" w:cs="宋体" w:hint="eastAsia"/>
          <w:b/>
          <w:color w:val="auto"/>
          <w:sz w:val="24"/>
          <w:szCs w:val="28"/>
        </w:rPr>
        <w:t>工具和信息技术工具，包括对</w:t>
      </w:r>
      <w:r>
        <w:rPr>
          <w:rFonts w:cs="宋体" w:hint="eastAsia"/>
          <w:b/>
          <w:color w:val="auto"/>
          <w:sz w:val="24"/>
          <w:szCs w:val="28"/>
          <w:lang w:eastAsia="zh-CN"/>
        </w:rPr>
        <w:t>表演</w:t>
      </w:r>
      <w:r>
        <w:rPr>
          <w:rFonts w:ascii="宋体" w:hAnsi="宋体" w:cs="宋体" w:hint="eastAsia"/>
          <w:b/>
          <w:color w:val="auto"/>
          <w:sz w:val="24"/>
          <w:szCs w:val="28"/>
        </w:rPr>
        <w:t>问题的模拟与分析，并能够理解其局限性。</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5.1能够针对</w:t>
      </w:r>
      <w:r>
        <w:rPr>
          <w:rFonts w:eastAsia="宋体" w:cs="宋体" w:hint="eastAsia"/>
          <w:color w:val="auto"/>
          <w:sz w:val="24"/>
          <w:lang w:eastAsia="zh-CN"/>
        </w:rPr>
        <w:t>表演</w:t>
      </w:r>
      <w:r>
        <w:rPr>
          <w:rFonts w:ascii="宋体" w:eastAsia="宋体" w:hAnsi="宋体" w:cs="宋体" w:hint="eastAsia"/>
          <w:color w:val="auto"/>
          <w:sz w:val="24"/>
          <w:lang w:eastAsia="zh-CN"/>
        </w:rPr>
        <w:t>相关</w:t>
      </w:r>
      <w:r>
        <w:rPr>
          <w:rFonts w:ascii="宋体" w:eastAsia="宋体" w:hAnsi="宋体" w:cs="宋体" w:hint="eastAsia"/>
          <w:color w:val="auto"/>
          <w:sz w:val="24"/>
        </w:rPr>
        <w:t>问题，开发、选择与使用恰当的</w:t>
      </w:r>
      <w:r>
        <w:rPr>
          <w:rFonts w:ascii="宋体" w:eastAsia="宋体" w:hAnsi="宋体" w:cs="宋体" w:hint="eastAsia"/>
          <w:color w:val="auto"/>
          <w:sz w:val="24"/>
          <w:lang w:val="en-US" w:eastAsia="zh-CN"/>
        </w:rPr>
        <w:t>软件和技术</w:t>
      </w:r>
      <w:r>
        <w:rPr>
          <w:rFonts w:ascii="宋体" w:eastAsia="宋体" w:hAnsi="宋体" w:cs="宋体" w:hint="eastAsia"/>
          <w:color w:val="auto"/>
          <w:sz w:val="24"/>
        </w:rPr>
        <w:t>工具</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5.2能够熟练运用</w:t>
      </w:r>
      <w:r>
        <w:rPr>
          <w:rFonts w:eastAsia="宋体" w:cs="宋体" w:hint="eastAsia"/>
          <w:color w:val="auto"/>
          <w:sz w:val="24"/>
          <w:lang w:eastAsia="zh-CN"/>
        </w:rPr>
        <w:t>录制剪辑</w:t>
      </w:r>
      <w:r>
        <w:rPr>
          <w:rFonts w:ascii="宋体" w:eastAsia="宋体" w:hAnsi="宋体" w:cs="宋体" w:hint="eastAsia"/>
          <w:color w:val="auto"/>
          <w:sz w:val="24"/>
        </w:rPr>
        <w:t>软件，表达</w:t>
      </w:r>
      <w:r>
        <w:rPr>
          <w:rFonts w:eastAsia="宋体" w:cs="宋体" w:hint="eastAsia"/>
          <w:color w:val="auto"/>
          <w:sz w:val="24"/>
          <w:lang w:eastAsia="zh-CN"/>
        </w:rPr>
        <w:t>表演</w:t>
      </w:r>
      <w:r>
        <w:rPr>
          <w:rFonts w:ascii="宋体" w:eastAsia="宋体" w:hAnsi="宋体" w:cs="宋体" w:hint="eastAsia"/>
          <w:color w:val="auto"/>
          <w:sz w:val="24"/>
        </w:rPr>
        <w:t>创作问题</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5.3能够对</w:t>
      </w:r>
      <w:r>
        <w:rPr>
          <w:rFonts w:eastAsia="宋体" w:cs="宋体" w:hint="eastAsia"/>
          <w:color w:val="auto"/>
          <w:sz w:val="24"/>
          <w:lang w:eastAsia="zh-CN"/>
        </w:rPr>
        <w:t>表演</w:t>
      </w:r>
      <w:r>
        <w:rPr>
          <w:rFonts w:ascii="宋体" w:eastAsia="宋体" w:hAnsi="宋体" w:cs="宋体" w:hint="eastAsia"/>
          <w:color w:val="auto"/>
          <w:sz w:val="24"/>
        </w:rPr>
        <w:t>过程中可能出现的问题及解决方案进行模拟与分析，并能够理解其局限性。</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6.</w:t>
      </w:r>
      <w:r>
        <w:rPr>
          <w:rFonts w:ascii="宋体" w:hAnsi="宋体" w:cs="宋体" w:hint="eastAsia"/>
          <w:b/>
          <w:color w:val="auto"/>
          <w:sz w:val="24"/>
          <w:szCs w:val="28"/>
        </w:rPr>
        <w:t>能够基于</w:t>
      </w:r>
      <w:r>
        <w:rPr>
          <w:rFonts w:cs="宋体" w:hint="eastAsia"/>
          <w:b/>
          <w:color w:val="auto"/>
          <w:sz w:val="24"/>
          <w:szCs w:val="28"/>
          <w:lang w:eastAsia="zh-CN"/>
        </w:rPr>
        <w:t>表演</w:t>
      </w:r>
      <w:r>
        <w:rPr>
          <w:rFonts w:ascii="宋体" w:hAnsi="宋体" w:cs="宋体" w:hint="eastAsia"/>
          <w:b/>
          <w:color w:val="auto"/>
          <w:sz w:val="24"/>
          <w:szCs w:val="28"/>
        </w:rPr>
        <w:t xml:space="preserve">相关背景知识分析与评价媒体传播对社会、健康、安全、法律以及文化的影响，并理解应承担的责任。 </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6.1了解有关社会、健康、安全、法律以及文化等方面的方针、政策和法规</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6.2正确认识</w:t>
      </w:r>
      <w:r>
        <w:rPr>
          <w:rFonts w:eastAsia="宋体" w:cs="宋体" w:hint="eastAsia"/>
          <w:color w:val="auto"/>
          <w:sz w:val="24"/>
          <w:lang w:eastAsia="zh-CN"/>
        </w:rPr>
        <w:t>表演</w:t>
      </w:r>
      <w:r>
        <w:rPr>
          <w:rFonts w:ascii="宋体" w:eastAsia="宋体" w:hAnsi="宋体" w:cs="宋体" w:hint="eastAsia"/>
          <w:color w:val="auto"/>
          <w:sz w:val="24"/>
        </w:rPr>
        <w:t>中问题的解决方案对社会、安全以及文化的影响，并理解应承担的责任。</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7.</w:t>
      </w:r>
      <w:r>
        <w:rPr>
          <w:rFonts w:ascii="宋体" w:hAnsi="宋体" w:cs="宋体" w:hint="eastAsia"/>
          <w:b/>
          <w:color w:val="auto"/>
          <w:sz w:val="24"/>
          <w:szCs w:val="28"/>
        </w:rPr>
        <w:t>能够理解和评价</w:t>
      </w:r>
      <w:r>
        <w:rPr>
          <w:rFonts w:cs="宋体" w:hint="eastAsia"/>
          <w:b/>
          <w:color w:val="auto"/>
          <w:sz w:val="24"/>
          <w:szCs w:val="28"/>
          <w:lang w:eastAsia="zh-CN"/>
        </w:rPr>
        <w:t>表演</w:t>
      </w:r>
      <w:r>
        <w:rPr>
          <w:rFonts w:ascii="宋体" w:hAnsi="宋体" w:cs="宋体" w:hint="eastAsia"/>
          <w:b/>
          <w:color w:val="auto"/>
          <w:sz w:val="24"/>
          <w:szCs w:val="28"/>
          <w:lang w:val="en-US" w:eastAsia="zh-CN"/>
        </w:rPr>
        <w:t>传播</w:t>
      </w:r>
      <w:r>
        <w:rPr>
          <w:rFonts w:ascii="宋体" w:hAnsi="宋体" w:cs="宋体" w:hint="eastAsia"/>
          <w:b/>
          <w:color w:val="auto"/>
          <w:sz w:val="24"/>
          <w:szCs w:val="28"/>
        </w:rPr>
        <w:t>对环境、社会可持续发展的影响。</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7.1</w:t>
      </w:r>
      <w:r>
        <w:rPr>
          <w:rFonts w:eastAsia="宋体" w:cs="宋体" w:hint="eastAsia"/>
          <w:color w:val="auto"/>
          <w:sz w:val="24"/>
          <w:lang w:eastAsia="zh-CN"/>
        </w:rPr>
        <w:t>表演</w:t>
      </w:r>
      <w:r>
        <w:rPr>
          <w:rFonts w:ascii="宋体" w:eastAsia="宋体" w:hAnsi="宋体" w:cs="宋体" w:hint="eastAsia"/>
          <w:color w:val="auto"/>
          <w:sz w:val="24"/>
        </w:rPr>
        <w:t>实践对环境和可持续发展的影响</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7.2能够针对</w:t>
      </w:r>
      <w:r>
        <w:rPr>
          <w:rFonts w:eastAsia="宋体" w:cs="宋体" w:hint="eastAsia"/>
          <w:color w:val="auto"/>
          <w:sz w:val="24"/>
          <w:lang w:eastAsia="zh-CN"/>
        </w:rPr>
        <w:t>表演</w:t>
      </w:r>
      <w:r>
        <w:rPr>
          <w:rFonts w:ascii="宋体" w:eastAsia="宋体" w:hAnsi="宋体" w:cs="宋体" w:hint="eastAsia"/>
          <w:color w:val="auto"/>
          <w:sz w:val="24"/>
        </w:rPr>
        <w:t>方面的解决方案进行综合评价。</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8.</w:t>
      </w:r>
      <w:r>
        <w:rPr>
          <w:rFonts w:ascii="宋体" w:hAnsi="宋体" w:cs="宋体" w:hint="eastAsia"/>
          <w:b/>
          <w:color w:val="auto"/>
          <w:sz w:val="24"/>
          <w:szCs w:val="28"/>
        </w:rPr>
        <w:t>具有人文社会科学素养和社会责任感，能够在</w:t>
      </w:r>
      <w:r>
        <w:rPr>
          <w:rFonts w:cs="宋体" w:hint="eastAsia"/>
          <w:b/>
          <w:color w:val="auto"/>
          <w:sz w:val="24"/>
          <w:szCs w:val="28"/>
          <w:lang w:eastAsia="zh-CN"/>
        </w:rPr>
        <w:t>表演</w:t>
      </w:r>
      <w:r>
        <w:rPr>
          <w:rFonts w:ascii="宋体" w:hAnsi="宋体" w:cs="宋体" w:hint="eastAsia"/>
          <w:b/>
          <w:color w:val="auto"/>
          <w:sz w:val="24"/>
          <w:szCs w:val="28"/>
        </w:rPr>
        <w:t>工作实践中理解并遵守职业道德和行为规范，履行一个媒体人的社会责任。</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8.1具备良好的政治素养、道德品质，遵纪守法，具有良好的身体素质和心理素质，身心健康</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8.2具有良好的</w:t>
      </w:r>
      <w:r>
        <w:rPr>
          <w:rFonts w:ascii="宋体" w:eastAsia="宋体" w:hAnsi="宋体" w:cs="宋体" w:hint="eastAsia"/>
          <w:color w:val="auto"/>
          <w:sz w:val="24"/>
          <w:lang w:val="en-US" w:eastAsia="zh-CN"/>
        </w:rPr>
        <w:t>文化和素质</w:t>
      </w:r>
      <w:r>
        <w:rPr>
          <w:rFonts w:ascii="宋体" w:eastAsia="宋体" w:hAnsi="宋体" w:cs="宋体" w:hint="eastAsia"/>
          <w:color w:val="auto"/>
          <w:sz w:val="24"/>
        </w:rPr>
        <w:t>，遵守行业规范，具有良好职业道德。</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b/>
          <w:i w:val="0"/>
          <w:caps w:val="0"/>
          <w:color w:val="auto"/>
          <w:spacing w:val="0"/>
          <w:sz w:val="24"/>
          <w:szCs w:val="24"/>
          <w:shd w:val="clear" w:color="auto" w:fill="FFFFFF"/>
        </w:rPr>
      </w:pPr>
      <w:r>
        <w:rPr>
          <w:rFonts w:eastAsia="宋体" w:cs="宋体" w:hint="eastAsia"/>
          <w:b/>
          <w:i w:val="0"/>
          <w:caps w:val="0"/>
          <w:color w:val="auto"/>
          <w:spacing w:val="0"/>
          <w:sz w:val="24"/>
          <w:szCs w:val="24"/>
          <w:shd w:val="clear" w:color="auto" w:fill="FFFFFF"/>
          <w:lang w:val="en-US" w:eastAsia="zh-CN"/>
        </w:rPr>
        <w:t>9.</w:t>
      </w:r>
      <w:r>
        <w:rPr>
          <w:rFonts w:ascii="宋体" w:eastAsia="宋体" w:hAnsi="宋体" w:cs="宋体" w:hint="eastAsia"/>
          <w:b/>
          <w:i w:val="0"/>
          <w:caps w:val="0"/>
          <w:color w:val="auto"/>
          <w:spacing w:val="0"/>
          <w:sz w:val="24"/>
          <w:szCs w:val="24"/>
          <w:shd w:val="clear" w:color="auto" w:fill="FFFFFF"/>
        </w:rPr>
        <w:t>能够在</w:t>
      </w:r>
      <w:r>
        <w:rPr>
          <w:rFonts w:eastAsia="宋体" w:cs="宋体" w:hint="eastAsia"/>
          <w:b/>
          <w:i w:val="0"/>
          <w:caps w:val="0"/>
          <w:color w:val="auto"/>
          <w:spacing w:val="0"/>
          <w:sz w:val="24"/>
          <w:szCs w:val="24"/>
          <w:shd w:val="clear" w:color="auto" w:fill="FFFFFF"/>
          <w:lang w:eastAsia="zh-CN"/>
        </w:rPr>
        <w:t>表演</w:t>
      </w:r>
      <w:r>
        <w:rPr>
          <w:rFonts w:ascii="宋体" w:eastAsia="宋体" w:hAnsi="宋体" w:cs="宋体" w:hint="eastAsia"/>
          <w:b/>
          <w:i w:val="0"/>
          <w:caps w:val="0"/>
          <w:color w:val="auto"/>
          <w:spacing w:val="0"/>
          <w:sz w:val="24"/>
          <w:szCs w:val="24"/>
          <w:shd w:val="clear" w:color="auto" w:fill="FFFFFF"/>
        </w:rPr>
        <w:t>问题中，承担个体应负责任，并能与团队成员紧密合作。</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szCs w:val="24"/>
          <w:lang w:val="en-US" w:eastAsia="zh-CN"/>
        </w:rPr>
      </w:pPr>
      <w:r>
        <w:rPr>
          <w:rFonts w:ascii="宋体" w:eastAsia="宋体" w:hAnsi="宋体" w:cs="宋体" w:hint="eastAsia"/>
          <w:color w:val="auto"/>
          <w:sz w:val="24"/>
          <w:szCs w:val="24"/>
        </w:rPr>
        <w:t>9.1理解团队合作的重要性，具有在不同的位置上各尽所能、与其他成员协调合作的团队精神和能力，能够在团队合作中进行分工与协作，正确处理个人与团队的关系</w:t>
      </w:r>
      <w:r>
        <w:rPr>
          <w:rFonts w:ascii="宋体" w:eastAsia="宋体" w:hAnsi="宋体" w:cs="宋体" w:hint="eastAsia"/>
          <w:color w:val="auto"/>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szCs w:val="24"/>
        </w:rPr>
      </w:pPr>
      <w:r>
        <w:rPr>
          <w:rFonts w:ascii="宋体" w:eastAsia="宋体" w:hAnsi="宋体" w:cs="宋体" w:hint="eastAsia"/>
          <w:color w:val="auto"/>
          <w:sz w:val="24"/>
          <w:szCs w:val="24"/>
        </w:rPr>
        <w:t>9.2了解多学科技术背景和技术特点，能够在多学科背景下的团队中承担个体、团队成员以及负责人的角色，并能够按照需求承担相应任务。</w:t>
      </w:r>
    </w:p>
    <w:p>
      <w:pPr>
        <w:pStyle w:val="ListParagraph"/>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cs="宋体" w:hint="eastAsia"/>
          <w:b/>
          <w:color w:val="auto"/>
          <w:sz w:val="24"/>
          <w:szCs w:val="28"/>
          <w:lang w:val="en-US" w:eastAsia="zh-CN"/>
        </w:rPr>
        <w:t>10.</w:t>
      </w:r>
      <w:r>
        <w:rPr>
          <w:rFonts w:ascii="宋体" w:hAnsi="宋体" w:cs="宋体" w:hint="eastAsia"/>
          <w:b/>
          <w:color w:val="auto"/>
          <w:sz w:val="24"/>
          <w:szCs w:val="28"/>
        </w:rPr>
        <w:t>了解</w:t>
      </w:r>
      <w:r>
        <w:rPr>
          <w:rFonts w:cs="宋体" w:hint="eastAsia"/>
          <w:b/>
          <w:color w:val="auto"/>
          <w:sz w:val="24"/>
          <w:szCs w:val="28"/>
          <w:lang w:eastAsia="zh-CN"/>
        </w:rPr>
        <w:t>表演</w:t>
      </w:r>
      <w:r>
        <w:rPr>
          <w:rFonts w:ascii="宋体" w:hAnsi="宋体" w:cs="宋体" w:hint="eastAsia"/>
          <w:b/>
          <w:color w:val="auto"/>
          <w:sz w:val="24"/>
          <w:szCs w:val="28"/>
        </w:rPr>
        <w:t>艺术的应用前景、需要和发展动态，能够与业界同行及社会公众进行有效沟通和交流，具备英语听、说、读、写、译的基本能力和使用网络、计算机的基本能力，</w:t>
      </w:r>
      <w:r>
        <w:rPr>
          <w:rFonts w:ascii="宋体" w:eastAsia="宋体" w:hAnsi="宋体" w:cs="宋体" w:hint="eastAsia"/>
          <w:b/>
          <w:i w:val="0"/>
          <w:caps w:val="0"/>
          <w:color w:val="auto"/>
          <w:spacing w:val="0"/>
          <w:sz w:val="24"/>
          <w:szCs w:val="24"/>
          <w:shd w:val="clear" w:color="auto" w:fill="FFFFFF"/>
        </w:rPr>
        <w:t>并能够在跨文化背景下进行沟通和交流</w:t>
      </w:r>
      <w:r>
        <w:rPr>
          <w:rFonts w:ascii="宋体" w:eastAsia="宋体" w:hAnsi="宋体" w:cs="宋体" w:hint="eastAsia"/>
          <w:b/>
          <w:i w:val="0"/>
          <w:caps w:val="0"/>
          <w:color w:val="auto"/>
          <w:spacing w:val="0"/>
          <w:sz w:val="24"/>
          <w:szCs w:val="24"/>
          <w:shd w:val="clear" w:color="auto" w:fill="FFFFFF"/>
          <w:lang w:eastAsia="zh-CN"/>
        </w:rPr>
        <w:t>。</w:t>
      </w:r>
      <w:r>
        <w:rPr>
          <w:rFonts w:ascii="宋体" w:hAnsi="宋体" w:cs="宋体" w:hint="eastAsia"/>
          <w:b/>
          <w:color w:val="auto"/>
          <w:sz w:val="24"/>
          <w:szCs w:val="28"/>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10.1能够规范的撰写</w:t>
      </w:r>
      <w:r>
        <w:rPr>
          <w:rFonts w:ascii="宋体" w:eastAsia="宋体" w:hAnsi="宋体" w:cs="宋体" w:hint="eastAsia"/>
          <w:color w:val="auto"/>
          <w:sz w:val="24"/>
          <w:lang w:val="en-US" w:eastAsia="zh-CN"/>
        </w:rPr>
        <w:t>报告和文稿</w:t>
      </w:r>
      <w:r>
        <w:rPr>
          <w:rFonts w:ascii="宋体" w:eastAsia="宋体" w:hAnsi="宋体" w:cs="宋体" w:hint="eastAsia"/>
          <w:color w:val="auto"/>
          <w:sz w:val="24"/>
        </w:rPr>
        <w:t>，表达</w:t>
      </w:r>
      <w:r>
        <w:rPr>
          <w:rFonts w:eastAsia="宋体" w:cs="宋体" w:hint="eastAsia"/>
          <w:color w:val="auto"/>
          <w:sz w:val="24"/>
          <w:lang w:eastAsia="zh-CN"/>
        </w:rPr>
        <w:t>表演</w:t>
      </w:r>
      <w:r>
        <w:rPr>
          <w:rFonts w:ascii="宋体" w:eastAsia="宋体" w:hAnsi="宋体" w:cs="宋体" w:hint="eastAsia"/>
          <w:color w:val="auto"/>
          <w:sz w:val="24"/>
        </w:rPr>
        <w:t>问题的解决方案、过程和结果</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10.2能够就</w:t>
      </w:r>
      <w:r>
        <w:rPr>
          <w:rFonts w:eastAsia="宋体" w:cs="宋体" w:hint="eastAsia"/>
          <w:color w:val="auto"/>
          <w:sz w:val="24"/>
          <w:lang w:eastAsia="zh-CN"/>
        </w:rPr>
        <w:t>表演</w:t>
      </w:r>
      <w:r>
        <w:rPr>
          <w:rFonts w:ascii="宋体" w:eastAsia="宋体" w:hAnsi="宋体" w:cs="宋体" w:hint="eastAsia"/>
          <w:color w:val="auto"/>
          <w:sz w:val="24"/>
        </w:rPr>
        <w:t>等问题，与业界同行及社会公众进行有效的交流和沟通</w:t>
      </w:r>
      <w:r>
        <w:rPr>
          <w:rFonts w:ascii="宋体" w:eastAsia="宋体" w:hAnsi="宋体" w:cs="宋体" w:hint="eastAsia"/>
          <w:color w:val="auto"/>
          <w:sz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color w:val="auto"/>
          <w:sz w:val="24"/>
        </w:rPr>
      </w:pPr>
      <w:r>
        <w:rPr>
          <w:rFonts w:ascii="宋体" w:eastAsia="宋体" w:hAnsi="宋体" w:cs="宋体" w:hint="eastAsia"/>
          <w:color w:val="auto"/>
          <w:sz w:val="24"/>
        </w:rPr>
        <w:t>10.3能够阅读</w:t>
      </w:r>
      <w:r>
        <w:rPr>
          <w:rFonts w:eastAsia="宋体" w:cs="宋体" w:hint="eastAsia"/>
          <w:color w:val="auto"/>
          <w:sz w:val="24"/>
          <w:lang w:eastAsia="zh-CN"/>
        </w:rPr>
        <w:t>表演</w:t>
      </w:r>
      <w:r>
        <w:rPr>
          <w:rFonts w:ascii="宋体" w:eastAsia="宋体" w:hAnsi="宋体" w:cs="宋体" w:hint="eastAsia"/>
          <w:color w:val="auto"/>
          <w:sz w:val="24"/>
        </w:rPr>
        <w:t>相关领域文献资料，了解国内外</w:t>
      </w:r>
      <w:r>
        <w:rPr>
          <w:rFonts w:eastAsia="宋体" w:cs="宋体" w:hint="eastAsia"/>
          <w:color w:val="auto"/>
          <w:sz w:val="24"/>
          <w:lang w:eastAsia="zh-CN"/>
        </w:rPr>
        <w:t>表演</w:t>
      </w:r>
      <w:r>
        <w:rPr>
          <w:rFonts w:ascii="宋体" w:eastAsia="宋体" w:hAnsi="宋体" w:cs="宋体" w:hint="eastAsia"/>
          <w:color w:val="auto"/>
          <w:sz w:val="24"/>
        </w:rPr>
        <w:t>领域的发展动态。</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color w:val="auto"/>
          <w:sz w:val="24"/>
          <w:szCs w:val="28"/>
        </w:rPr>
      </w:pPr>
      <w:r>
        <w:rPr>
          <w:rFonts w:ascii="宋体" w:hAnsi="宋体" w:cs="宋体" w:hint="eastAsia"/>
          <w:b/>
          <w:color w:val="auto"/>
          <w:sz w:val="24"/>
          <w:szCs w:val="28"/>
        </w:rPr>
        <w:t>1</w:t>
      </w:r>
      <w:r>
        <w:rPr>
          <w:rFonts w:ascii="宋体" w:hAnsi="宋体" w:cs="宋体" w:hint="eastAsia"/>
          <w:b/>
          <w:color w:val="auto"/>
          <w:sz w:val="24"/>
          <w:szCs w:val="28"/>
          <w:lang w:val="en-US" w:eastAsia="zh-CN"/>
        </w:rPr>
        <w:t>1</w:t>
      </w:r>
      <w:r>
        <w:rPr>
          <w:rFonts w:ascii="宋体" w:hAnsi="宋体" w:cs="宋体" w:hint="eastAsia"/>
          <w:b/>
          <w:color w:val="auto"/>
          <w:sz w:val="24"/>
          <w:szCs w:val="28"/>
        </w:rPr>
        <w:t>.具有较强的自主学习能力和较高的综合素质，有不断学习和适应发展的能力。</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lang w:val="en-US" w:eastAsia="zh-CN"/>
        </w:rPr>
      </w:pPr>
      <w:r>
        <w:rPr>
          <w:rFonts w:ascii="宋体" w:eastAsia="宋体" w:hAnsi="宋体" w:cs="宋体" w:hint="eastAsia"/>
          <w:color w:val="auto"/>
          <w:sz w:val="24"/>
        </w:rPr>
        <w:t>1</w:t>
      </w:r>
      <w:r>
        <w:rPr>
          <w:rFonts w:ascii="宋体" w:eastAsia="宋体" w:hAnsi="宋体" w:cs="宋体" w:hint="eastAsia"/>
          <w:color w:val="auto"/>
          <w:sz w:val="24"/>
          <w:lang w:val="en-US" w:eastAsia="zh-CN"/>
        </w:rPr>
        <w:t>1</w:t>
      </w:r>
      <w:r>
        <w:rPr>
          <w:rFonts w:ascii="宋体" w:eastAsia="宋体" w:hAnsi="宋体" w:cs="宋体" w:hint="eastAsia"/>
          <w:color w:val="auto"/>
          <w:sz w:val="24"/>
        </w:rPr>
        <w:t>.1具有自主学习能力，能够针对</w:t>
      </w:r>
      <w:r>
        <w:rPr>
          <w:rFonts w:eastAsia="宋体" w:cs="宋体" w:hint="eastAsia"/>
          <w:color w:val="auto"/>
          <w:sz w:val="24"/>
          <w:lang w:eastAsia="zh-CN"/>
        </w:rPr>
        <w:t>表演</w:t>
      </w:r>
      <w:r>
        <w:rPr>
          <w:rFonts w:ascii="宋体" w:eastAsia="宋体" w:hAnsi="宋体" w:cs="宋体" w:hint="eastAsia"/>
          <w:color w:val="auto"/>
          <w:sz w:val="24"/>
        </w:rPr>
        <w:t>问题主动查阅资料并进行学习</w:t>
      </w:r>
      <w:r>
        <w:rPr>
          <w:rFonts w:ascii="宋体" w:eastAsia="宋体" w:hAnsi="宋体" w:cs="宋体" w:hint="eastAsia"/>
          <w:color w:val="auto"/>
          <w:sz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rPr>
      </w:pPr>
      <w:r>
        <w:rPr>
          <w:rFonts w:ascii="宋体" w:eastAsia="宋体" w:hAnsi="宋体" w:cs="宋体" w:hint="eastAsia"/>
          <w:color w:val="auto"/>
          <w:sz w:val="24"/>
        </w:rPr>
        <w:t>1</w:t>
      </w:r>
      <w:r>
        <w:rPr>
          <w:rFonts w:ascii="宋体" w:eastAsia="宋体" w:hAnsi="宋体" w:cs="宋体" w:hint="eastAsia"/>
          <w:color w:val="auto"/>
          <w:sz w:val="24"/>
          <w:lang w:val="en-US" w:eastAsia="zh-CN"/>
        </w:rPr>
        <w:t>1</w:t>
      </w:r>
      <w:r>
        <w:rPr>
          <w:rFonts w:ascii="宋体" w:eastAsia="宋体" w:hAnsi="宋体" w:cs="宋体" w:hint="eastAsia"/>
          <w:color w:val="auto"/>
          <w:sz w:val="24"/>
        </w:rPr>
        <w:t>.2具有终身学习意识，能够不断学习和适应</w:t>
      </w:r>
      <w:r>
        <w:rPr>
          <w:rFonts w:eastAsia="宋体" w:cs="宋体" w:hint="eastAsia"/>
          <w:color w:val="auto"/>
          <w:sz w:val="24"/>
          <w:lang w:eastAsia="zh-CN"/>
        </w:rPr>
        <w:t>表演</w:t>
      </w:r>
      <w:r>
        <w:rPr>
          <w:rFonts w:ascii="宋体" w:eastAsia="宋体" w:hAnsi="宋体" w:cs="宋体" w:hint="eastAsia"/>
          <w:color w:val="auto"/>
          <w:sz w:val="24"/>
        </w:rPr>
        <w:t>相关领域技术的发展。</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rPr>
      </w:pPr>
    </w:p>
    <w:p>
      <w:pPr>
        <w:numPr>
          <w:ilvl w:val="0"/>
          <w:numId w:val="0"/>
        </w:numPr>
        <w:spacing w:line="360" w:lineRule="auto"/>
        <w:rPr>
          <w:rFonts w:ascii="宋体" w:hAnsi="宋体" w:cs="宋体" w:hint="eastAsia"/>
          <w:b/>
          <w:color w:val="000000"/>
          <w:sz w:val="28"/>
          <w:szCs w:val="28"/>
        </w:rPr>
      </w:pPr>
      <w:r>
        <w:rPr>
          <w:rFonts w:ascii="宋体" w:hAnsi="宋体" w:cs="宋体" w:hint="eastAsia"/>
          <w:b/>
          <w:color w:val="000000"/>
          <w:sz w:val="28"/>
          <w:szCs w:val="28"/>
          <w:lang w:eastAsia="zh-CN"/>
        </w:rPr>
        <w:t>（二）</w:t>
      </w:r>
      <w:r>
        <w:rPr>
          <w:rFonts w:ascii="宋体" w:hAnsi="宋体" w:cs="宋体" w:hint="eastAsia"/>
          <w:b/>
          <w:color w:val="000000"/>
          <w:sz w:val="28"/>
          <w:szCs w:val="28"/>
        </w:rPr>
        <w:t>毕业要求指标点分解及教学活动权重设置</w:t>
      </w:r>
    </w:p>
    <w:tbl>
      <w:tblPr>
        <w:tblStyle w:val="TableNormal"/>
        <w:tblpPr w:leftFromText="180" w:rightFromText="180" w:vertAnchor="text" w:tblpXSpec="center" w:tblpX="1" w:tblpY="1"/>
        <w:tblOverlap w:val="neve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0" w:type="dxa"/>
          <w:left w:w="108" w:type="dxa"/>
          <w:bottom w:w="0" w:type="dxa"/>
          <w:right w:w="108" w:type="dxa"/>
        </w:tblCellMar>
        <w:tblLook w:val="0000"/>
      </w:tblPr>
      <w:tblGrid>
        <w:gridCol w:w="2251"/>
        <w:gridCol w:w="2569"/>
        <w:gridCol w:w="2742"/>
        <w:gridCol w:w="1335"/>
      </w:tblGrid>
      <w:tr>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0" w:type="dxa"/>
            <w:left w:w="108" w:type="dxa"/>
            <w:bottom w:w="0" w:type="dxa"/>
            <w:right w:w="108" w:type="dxa"/>
          </w:tblCellMar>
          <w:tblLook w:val="0000"/>
        </w:tblPrEx>
        <w:trPr>
          <w:trHeight w:val="735"/>
          <w:jc w:val="center"/>
        </w:trPr>
        <w:tc>
          <w:tcPr>
            <w:tcW w:w="2251"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
                <w:color w:val="000000"/>
                <w:kern w:val="0"/>
                <w:sz w:val="18"/>
                <w:szCs w:val="18"/>
              </w:rPr>
            </w:pPr>
            <w:r>
              <w:rPr>
                <w:rFonts w:ascii="宋体" w:eastAsia="宋体" w:hAnsi="宋体" w:cs="宋体" w:hint="eastAsia"/>
                <w:b/>
                <w:color w:val="000000"/>
                <w:kern w:val="0"/>
                <w:sz w:val="18"/>
                <w:szCs w:val="18"/>
              </w:rPr>
              <w:t>毕业要求</w:t>
            </w:r>
          </w:p>
        </w:tc>
        <w:tc>
          <w:tcPr>
            <w:tcW w:w="2569"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
                <w:color w:val="000000"/>
                <w:kern w:val="0"/>
                <w:sz w:val="18"/>
                <w:szCs w:val="18"/>
              </w:rPr>
            </w:pPr>
            <w:r>
              <w:rPr>
                <w:rFonts w:ascii="宋体" w:eastAsia="宋体" w:hAnsi="宋体" w:cs="宋体" w:hint="eastAsia"/>
                <w:b/>
                <w:color w:val="000000"/>
                <w:kern w:val="0"/>
                <w:sz w:val="18"/>
                <w:szCs w:val="18"/>
              </w:rPr>
              <w:t>毕业要求分解指标点</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
                <w:color w:val="000000"/>
                <w:kern w:val="0"/>
                <w:sz w:val="18"/>
                <w:szCs w:val="18"/>
              </w:rPr>
            </w:pPr>
            <w:r>
              <w:rPr>
                <w:rFonts w:ascii="宋体" w:eastAsia="宋体" w:hAnsi="宋体" w:cs="宋体" w:hint="eastAsia"/>
                <w:b/>
                <w:color w:val="000000"/>
                <w:kern w:val="0"/>
                <w:sz w:val="18"/>
                <w:szCs w:val="18"/>
              </w:rPr>
              <w:t>教学活动</w:t>
            </w:r>
          </w:p>
        </w:tc>
        <w:tc>
          <w:tcPr>
            <w:tcW w:w="1335"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
                <w:color w:val="000000"/>
                <w:kern w:val="0"/>
                <w:sz w:val="18"/>
                <w:szCs w:val="18"/>
              </w:rPr>
            </w:pPr>
            <w:r>
              <w:rPr>
                <w:rFonts w:ascii="宋体" w:eastAsia="宋体" w:hAnsi="宋体" w:cs="宋体" w:hint="eastAsia"/>
                <w:b/>
                <w:color w:val="000000"/>
                <w:sz w:val="18"/>
                <w:szCs w:val="18"/>
              </w:rPr>
              <w:t>权重值</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1.</w:t>
            </w:r>
            <w:r>
              <w:rPr>
                <w:rFonts w:eastAsia="宋体" w:cs="宋体" w:hint="eastAsia"/>
                <w:color w:val="000000"/>
                <w:sz w:val="18"/>
                <w:szCs w:val="18"/>
                <w:lang w:eastAsia="zh-CN"/>
              </w:rPr>
              <w:t>能够掌握本专业所需的</w:t>
            </w:r>
            <w:r>
              <w:rPr>
                <w:rFonts w:eastAsia="宋体" w:cs="宋体" w:hint="eastAsia"/>
                <w:color w:val="000000"/>
                <w:sz w:val="18"/>
                <w:szCs w:val="18"/>
                <w:lang w:val="en-US" w:eastAsia="zh-CN"/>
              </w:rPr>
              <w:t>的声乐、台词、形体、表演等</w:t>
            </w:r>
            <w:r>
              <w:rPr>
                <w:rFonts w:eastAsia="宋体" w:cs="宋体" w:hint="eastAsia"/>
                <w:color w:val="000000"/>
                <w:sz w:val="18"/>
                <w:szCs w:val="18"/>
                <w:lang w:eastAsia="zh-CN"/>
              </w:rPr>
              <w:t>专业知识，形成的专业知识体系，并运用到话剧表演、影视表演等场合中</w:t>
            </w:r>
          </w:p>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val="en-US" w:eastAsia="zh-CN"/>
              </w:rPr>
            </w:pPr>
            <w:r>
              <w:rPr>
                <w:rFonts w:ascii="宋体" w:eastAsia="宋体" w:hAnsi="宋体" w:cs="宋体" w:hint="eastAsia"/>
                <w:color w:val="000000"/>
                <w:sz w:val="18"/>
                <w:szCs w:val="18"/>
              </w:rPr>
              <w:t>1.1具有</w:t>
            </w:r>
            <w:r>
              <w:rPr>
                <w:rFonts w:eastAsia="宋体" w:cs="宋体" w:hint="eastAsia"/>
                <w:color w:val="000000"/>
                <w:sz w:val="18"/>
                <w:szCs w:val="18"/>
                <w:lang w:eastAsia="zh-CN"/>
              </w:rPr>
              <w:t>表演</w:t>
            </w:r>
            <w:r>
              <w:rPr>
                <w:rFonts w:ascii="宋体" w:eastAsia="宋体" w:hAnsi="宋体" w:cs="宋体" w:hint="eastAsia"/>
                <w:color w:val="000000"/>
                <w:sz w:val="18"/>
                <w:szCs w:val="18"/>
                <w:lang w:val="en-US" w:eastAsia="zh-CN"/>
              </w:rPr>
              <w:t>的基础</w:t>
            </w:r>
            <w:r>
              <w:rPr>
                <w:rFonts w:ascii="宋体" w:eastAsia="宋体" w:hAnsi="宋体" w:cs="宋体" w:hint="eastAsia"/>
                <w:color w:val="000000"/>
                <w:sz w:val="18"/>
                <w:szCs w:val="18"/>
              </w:rPr>
              <w:t>知识</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rPr>
            </w:pPr>
            <w:r>
              <w:rPr>
                <w:rFonts w:ascii="宋体" w:eastAsia="宋体" w:hAnsi="宋体" w:cs="宋体" w:hint="eastAsia"/>
                <w:bCs/>
                <w:color w:val="000000"/>
                <w:sz w:val="18"/>
                <w:szCs w:val="18"/>
              </w:rPr>
              <w:t>普通话语音</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表演概论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芭蕾基本功训练</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表演（一）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声乐基础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中外电影史</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中外戏剧史</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导演基础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1.2</w:t>
            </w:r>
            <w:r>
              <w:rPr>
                <w:rFonts w:eastAsia="宋体" w:cs="宋体" w:hint="eastAsia"/>
                <w:color w:val="000000"/>
                <w:sz w:val="18"/>
                <w:szCs w:val="18"/>
                <w:lang w:eastAsia="zh-CN"/>
              </w:rPr>
              <w:t>具有与戏剧影视、话剧表演相关的</w:t>
            </w:r>
            <w:r>
              <w:rPr>
                <w:rFonts w:eastAsia="宋体" w:cs="宋体" w:hint="eastAsia"/>
                <w:color w:val="000000"/>
                <w:sz w:val="18"/>
                <w:szCs w:val="18"/>
                <w:lang w:val="en-US" w:eastAsia="zh-CN"/>
              </w:rPr>
              <w:t>专业</w:t>
            </w:r>
            <w:r>
              <w:rPr>
                <w:rFonts w:eastAsia="宋体" w:cs="宋体" w:hint="eastAsia"/>
                <w:color w:val="000000"/>
                <w:sz w:val="18"/>
                <w:szCs w:val="18"/>
                <w:lang w:eastAsia="zh-CN"/>
              </w:rPr>
              <w:t>知识。</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表演（二）</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表演（三）</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right="0" w:leftChars="0" w:rightChars="0"/>
              <w:jc w:val="both"/>
              <w:textAlignment w:val="auto"/>
              <w:outlineLvl w:val="9"/>
              <w:rPr>
                <w:rFonts w:ascii="宋体" w:eastAsia="宋体" w:hAnsi="宋体" w:cs="宋体" w:hint="eastAsia"/>
                <w:b/>
                <w:color w:val="000000"/>
                <w:kern w:val="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2.</w:t>
            </w:r>
            <w:r>
              <w:rPr>
                <w:rFonts w:ascii="宋体" w:eastAsia="宋体" w:hAnsi="宋体" w:cs="宋体" w:hint="eastAsia"/>
                <w:color w:val="000000"/>
                <w:sz w:val="18"/>
                <w:szCs w:val="18"/>
              </w:rPr>
              <w:t>能够应用基本</w:t>
            </w:r>
            <w:r>
              <w:rPr>
                <w:rFonts w:ascii="宋体" w:eastAsia="宋体" w:hAnsi="宋体" w:cs="宋体" w:hint="eastAsia"/>
                <w:color w:val="000000"/>
                <w:sz w:val="18"/>
                <w:szCs w:val="18"/>
                <w:lang w:val="en-US" w:eastAsia="zh-CN"/>
              </w:rPr>
              <w:t>的</w:t>
            </w:r>
            <w:r>
              <w:rPr>
                <w:rFonts w:eastAsia="宋体" w:cs="宋体" w:hint="eastAsia"/>
                <w:color w:val="000000"/>
                <w:sz w:val="18"/>
                <w:szCs w:val="18"/>
                <w:lang w:val="en-US" w:eastAsia="zh-CN"/>
              </w:rPr>
              <w:t>表演</w:t>
            </w:r>
            <w:r>
              <w:rPr>
                <w:rFonts w:ascii="宋体" w:eastAsia="宋体" w:hAnsi="宋体" w:cs="宋体" w:hint="eastAsia"/>
                <w:color w:val="000000"/>
                <w:sz w:val="18"/>
                <w:szCs w:val="18"/>
                <w:lang w:val="en-US" w:eastAsia="zh-CN"/>
              </w:rPr>
              <w:t>理论</w:t>
            </w:r>
            <w:r>
              <w:rPr>
                <w:rFonts w:ascii="宋体" w:eastAsia="宋体" w:hAnsi="宋体" w:cs="宋体" w:hint="eastAsia"/>
                <w:color w:val="000000"/>
                <w:sz w:val="18"/>
                <w:szCs w:val="18"/>
              </w:rPr>
              <w:t>，</w:t>
            </w:r>
            <w:r>
              <w:rPr>
                <w:rFonts w:ascii="宋体" w:eastAsia="宋体" w:hAnsi="宋体" w:cs="宋体" w:hint="eastAsia"/>
                <w:color w:val="000000"/>
                <w:sz w:val="18"/>
                <w:szCs w:val="18"/>
                <w:lang w:val="en-US" w:eastAsia="zh-CN"/>
              </w:rPr>
              <w:t>探索、</w:t>
            </w:r>
            <w:r>
              <w:rPr>
                <w:rFonts w:ascii="宋体" w:eastAsia="宋体" w:hAnsi="宋体" w:cs="宋体" w:hint="eastAsia"/>
                <w:color w:val="000000"/>
                <w:sz w:val="18"/>
                <w:szCs w:val="18"/>
              </w:rPr>
              <w:t>表述</w:t>
            </w:r>
            <w:r>
              <w:rPr>
                <w:rFonts w:eastAsia="宋体" w:cs="宋体" w:hint="eastAsia"/>
                <w:color w:val="000000"/>
                <w:sz w:val="18"/>
                <w:szCs w:val="18"/>
                <w:lang w:eastAsia="zh-CN"/>
              </w:rPr>
              <w:t>表演</w:t>
            </w:r>
            <w:r>
              <w:rPr>
                <w:rFonts w:ascii="宋体" w:eastAsia="宋体" w:hAnsi="宋体" w:cs="宋体" w:hint="eastAsia"/>
                <w:color w:val="000000"/>
                <w:sz w:val="18"/>
                <w:szCs w:val="18"/>
              </w:rPr>
              <w:t>相关的问题，并通过文献研究分析获得有效结论</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u w:val="single"/>
                <w:lang w:eastAsia="zh-CN"/>
              </w:rPr>
            </w:pPr>
            <w:r>
              <w:rPr>
                <w:rFonts w:ascii="宋体" w:eastAsia="宋体" w:hAnsi="宋体" w:cs="宋体" w:hint="eastAsia"/>
                <w:color w:val="000000"/>
                <w:sz w:val="18"/>
                <w:szCs w:val="18"/>
              </w:rPr>
              <w:t>2.1</w:t>
            </w:r>
            <w:r>
              <w:rPr>
                <w:rFonts w:eastAsia="宋体" w:cs="宋体" w:hint="eastAsia"/>
                <w:color w:val="000000"/>
                <w:sz w:val="18"/>
                <w:szCs w:val="18"/>
                <w:lang w:eastAsia="zh-CN"/>
              </w:rPr>
              <w:t>能够应用表演的基本</w:t>
            </w:r>
            <w:r>
              <w:rPr>
                <w:rFonts w:eastAsia="宋体" w:cs="宋体" w:hint="eastAsia"/>
                <w:color w:val="000000"/>
                <w:sz w:val="18"/>
                <w:szCs w:val="18"/>
                <w:lang w:val="en-US" w:eastAsia="zh-CN"/>
              </w:rPr>
              <w:t>理论</w:t>
            </w:r>
            <w:r>
              <w:rPr>
                <w:rFonts w:eastAsia="宋体" w:cs="宋体" w:hint="eastAsia"/>
                <w:color w:val="000000"/>
                <w:sz w:val="18"/>
                <w:szCs w:val="18"/>
                <w:lang w:eastAsia="zh-CN"/>
              </w:rPr>
              <w:t>，分析台词、形体、影视表演创作等问题</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lang w:eastAsia="zh-CN"/>
              </w:rPr>
              <w:t>大学语文与实用写作</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影片赏析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eastAsia="宋体" w:cs="宋体" w:hint="eastAsia"/>
                <w:color w:val="000000"/>
                <w:kern w:val="0"/>
                <w:sz w:val="18"/>
                <w:szCs w:val="18"/>
                <w:lang w:eastAsia="zh-CN"/>
              </w:rPr>
              <w:t>表演大师作品分析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中国民族民间舞（一）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中国民族民间舞（一）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观众心理学</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视唱练耳</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舞台发声</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2.2具有文献检索及运用现代信息技术获取相关信息的能力</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sz w:val="18"/>
                <w:szCs w:val="18"/>
                <w:lang w:eastAsia="zh-CN"/>
              </w:rPr>
            </w:pPr>
            <w:r>
              <w:rPr>
                <w:rFonts w:eastAsia="宋体" w:cs="Times New Roman" w:hint="eastAsia"/>
                <w:bCs/>
                <w:color w:val="auto"/>
                <w:kern w:val="2"/>
                <w:sz w:val="18"/>
                <w:szCs w:val="18"/>
                <w:highlight w:val="none"/>
                <w:lang w:val="en-US" w:eastAsia="zh-CN" w:bidi="ar-SA"/>
              </w:rPr>
              <w:t>戏剧影视文学（编剧）</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sz w:val="18"/>
                <w:szCs w:val="18"/>
              </w:rPr>
            </w:pPr>
            <w:r>
              <w:rPr>
                <w:rFonts w:ascii="宋体" w:eastAsia="宋体" w:hAnsi="宋体" w:cs="宋体" w:hint="eastAsia"/>
                <w:color w:val="000000"/>
                <w:sz w:val="18"/>
                <w:szCs w:val="18"/>
              </w:rPr>
              <w:t>0.5</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大学计算机基础</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sz w:val="18"/>
                <w:szCs w:val="18"/>
              </w:rPr>
            </w:pPr>
            <w:r>
              <w:rPr>
                <w:rFonts w:ascii="宋体" w:eastAsia="宋体" w:hAnsi="宋体" w:cs="宋体" w:hint="eastAsia"/>
                <w:color w:val="000000"/>
                <w:sz w:val="18"/>
                <w:szCs w:val="18"/>
              </w:rPr>
              <w:t>0.5</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2.3能够通过抽象的、创造性的分析以创建合适的</w:t>
            </w:r>
            <w:r>
              <w:rPr>
                <w:rFonts w:ascii="宋体" w:eastAsia="宋体" w:hAnsi="宋体" w:cs="宋体" w:hint="eastAsia"/>
                <w:color w:val="000000"/>
                <w:sz w:val="18"/>
                <w:szCs w:val="18"/>
                <w:lang w:eastAsia="zh-CN"/>
              </w:rPr>
              <w:t>剧目表演。</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eastAsia="宋体" w:cs="宋体" w:hint="eastAsia"/>
                <w:color w:val="000000"/>
                <w:kern w:val="0"/>
                <w:sz w:val="18"/>
                <w:szCs w:val="18"/>
                <w:lang w:eastAsia="zh-CN"/>
              </w:rPr>
              <w:t>影片赏析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eastAsia="宋体" w:cs="宋体" w:hint="eastAsia"/>
                <w:color w:val="000000"/>
                <w:kern w:val="0"/>
                <w:sz w:val="18"/>
                <w:szCs w:val="18"/>
                <w:lang w:eastAsia="zh-CN"/>
              </w:rPr>
              <w:t>观众心理学</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eastAsia="宋体" w:cs="Times New Roman" w:hint="eastAsia"/>
                <w:bCs/>
                <w:color w:val="auto"/>
                <w:kern w:val="2"/>
                <w:sz w:val="18"/>
                <w:szCs w:val="18"/>
                <w:highlight w:val="none"/>
                <w:lang w:val="en-US" w:eastAsia="zh-CN" w:bidi="ar-SA"/>
              </w:rPr>
              <w:t>戏剧影视文学（编剧）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eastAsia="宋体" w:cs="宋体" w:hint="eastAsia"/>
                <w:color w:val="000000"/>
                <w:kern w:val="0"/>
                <w:sz w:val="18"/>
                <w:szCs w:val="18"/>
                <w:lang w:eastAsia="zh-CN"/>
              </w:rPr>
              <w:t>中外电影史</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导演基础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中外文学史</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r>
              <w:rPr>
                <w:rFonts w:ascii="宋体" w:eastAsia="宋体" w:hAnsi="宋体" w:cs="宋体" w:hint="eastAsia"/>
                <w:color w:val="000000"/>
                <w:sz w:val="18"/>
                <w:szCs w:val="18"/>
                <w:lang w:val="en-US" w:eastAsia="zh-CN"/>
              </w:rPr>
              <w:t>3.在解决</w:t>
            </w:r>
            <w:r>
              <w:rPr>
                <w:rFonts w:eastAsia="宋体" w:cs="宋体" w:hint="eastAsia"/>
                <w:color w:val="000000"/>
                <w:sz w:val="18"/>
                <w:szCs w:val="18"/>
                <w:lang w:val="en-US" w:eastAsia="zh-CN"/>
              </w:rPr>
              <w:t>表演</w:t>
            </w:r>
            <w:r>
              <w:rPr>
                <w:rFonts w:ascii="宋体" w:eastAsia="宋体" w:hAnsi="宋体" w:cs="宋体" w:hint="eastAsia"/>
                <w:color w:val="000000"/>
                <w:sz w:val="18"/>
                <w:szCs w:val="18"/>
                <w:lang w:val="en-US" w:eastAsia="zh-CN"/>
              </w:rPr>
              <w:t>问题中，提出合理解决方案，具有综合运用理论和技术手段提高</w:t>
            </w:r>
            <w:r>
              <w:rPr>
                <w:rFonts w:eastAsia="宋体" w:cs="宋体" w:hint="eastAsia"/>
                <w:color w:val="000000"/>
                <w:sz w:val="18"/>
                <w:szCs w:val="18"/>
                <w:lang w:val="en-US" w:eastAsia="zh-CN"/>
              </w:rPr>
              <w:t>表演</w:t>
            </w:r>
            <w:r>
              <w:rPr>
                <w:rFonts w:ascii="宋体" w:eastAsia="宋体" w:hAnsi="宋体" w:cs="宋体" w:hint="eastAsia"/>
                <w:color w:val="000000"/>
                <w:sz w:val="18"/>
                <w:szCs w:val="18"/>
                <w:lang w:val="en-US" w:eastAsia="zh-CN"/>
              </w:rPr>
              <w:t>的能力，并能够在</w:t>
            </w:r>
            <w:r>
              <w:rPr>
                <w:rFonts w:eastAsia="宋体" w:cs="宋体" w:hint="eastAsia"/>
                <w:color w:val="000000"/>
                <w:sz w:val="18"/>
                <w:szCs w:val="18"/>
                <w:lang w:val="en-US" w:eastAsia="zh-CN"/>
              </w:rPr>
              <w:t>表演</w:t>
            </w:r>
            <w:r>
              <w:rPr>
                <w:rFonts w:ascii="宋体" w:eastAsia="宋体" w:hAnsi="宋体" w:cs="宋体" w:hint="eastAsia"/>
                <w:color w:val="000000"/>
                <w:sz w:val="18"/>
                <w:szCs w:val="18"/>
                <w:lang w:val="en-US" w:eastAsia="zh-CN"/>
              </w:rPr>
              <w:t>过程中体现创新意识，充分考虑经济、环境、法律、安全、健康、伦理等制约因素。</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3.1综合运用</w:t>
            </w:r>
            <w:r>
              <w:rPr>
                <w:rFonts w:eastAsia="宋体" w:cs="宋体" w:hint="eastAsia"/>
                <w:color w:val="000000"/>
                <w:sz w:val="18"/>
                <w:szCs w:val="18"/>
                <w:lang w:eastAsia="zh-CN"/>
              </w:rPr>
              <w:t>表演</w:t>
            </w:r>
            <w:r>
              <w:rPr>
                <w:rFonts w:ascii="宋体" w:eastAsia="宋体" w:hAnsi="宋体" w:cs="宋体" w:hint="eastAsia"/>
                <w:color w:val="000000"/>
                <w:sz w:val="18"/>
                <w:szCs w:val="18"/>
              </w:rPr>
              <w:t>专业基本理论和技术手段，针对</w:t>
            </w:r>
            <w:r>
              <w:rPr>
                <w:rFonts w:eastAsia="宋体" w:cs="宋体" w:hint="eastAsia"/>
                <w:color w:val="000000"/>
                <w:sz w:val="18"/>
                <w:szCs w:val="18"/>
                <w:lang w:eastAsia="zh-CN"/>
              </w:rPr>
              <w:t>表演</w:t>
            </w:r>
            <w:r>
              <w:rPr>
                <w:rFonts w:ascii="宋体" w:eastAsia="宋体" w:hAnsi="宋体" w:cs="宋体" w:hint="eastAsia"/>
                <w:color w:val="000000"/>
                <w:sz w:val="18"/>
                <w:szCs w:val="18"/>
              </w:rPr>
              <w:t>过程中的问题提出解决方案，并体现创新意识</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bCs/>
                <w:color w:val="000000"/>
                <w:sz w:val="18"/>
                <w:szCs w:val="18"/>
                <w:lang w:eastAsia="zh-CN"/>
              </w:rPr>
              <w:t>表演（二）</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bCs/>
                <w:color w:val="000000"/>
                <w:sz w:val="18"/>
                <w:szCs w:val="18"/>
                <w:lang w:eastAsia="zh-CN"/>
              </w:rPr>
              <w:t>表演（三）</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eastAsia="宋体" w:cs="宋体" w:hint="eastAsia"/>
                <w:bCs/>
                <w:color w:val="000000"/>
                <w:sz w:val="18"/>
                <w:szCs w:val="18"/>
                <w:lang w:eastAsia="zh-CN"/>
              </w:rPr>
              <w:t>表演（四）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中国古典舞身韵</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both"/>
              <w:textAlignment w:val="auto"/>
              <w:outlineLvl w:val="9"/>
              <w:rPr>
                <w:rFonts w:ascii="宋体" w:eastAsia="宋体" w:hAnsi="宋体" w:cs="宋体" w:hint="default"/>
                <w:color w:val="000000"/>
                <w:kern w:val="0"/>
                <w:sz w:val="18"/>
                <w:szCs w:val="18"/>
                <w:lang w:val="en-US" w:eastAsia="zh-CN"/>
              </w:rPr>
            </w:pPr>
            <w:r>
              <w:rPr>
                <w:rFonts w:eastAsia="宋体" w:cs="宋体" w:hint="eastAsia"/>
                <w:color w:val="000000"/>
                <w:kern w:val="0"/>
                <w:sz w:val="18"/>
                <w:szCs w:val="18"/>
                <w:lang w:val="en-US" w:eastAsia="zh-CN"/>
              </w:rPr>
              <w:t xml:space="preserve">           台词</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3.2对</w:t>
            </w:r>
            <w:r>
              <w:rPr>
                <w:rFonts w:eastAsia="宋体" w:cs="宋体" w:hint="eastAsia"/>
                <w:color w:val="000000"/>
                <w:sz w:val="18"/>
                <w:szCs w:val="18"/>
                <w:lang w:val="en-US" w:eastAsia="zh-CN"/>
              </w:rPr>
              <w:t>表演</w:t>
            </w:r>
            <w:r>
              <w:rPr>
                <w:rFonts w:ascii="宋体" w:eastAsia="宋体" w:hAnsi="宋体" w:cs="宋体" w:hint="eastAsia"/>
                <w:color w:val="000000"/>
                <w:sz w:val="18"/>
                <w:szCs w:val="18"/>
                <w:lang w:val="en-US" w:eastAsia="zh-CN"/>
              </w:rPr>
              <w:t>中的</w:t>
            </w:r>
            <w:r>
              <w:rPr>
                <w:rFonts w:ascii="宋体" w:eastAsia="宋体" w:hAnsi="宋体" w:cs="宋体" w:hint="eastAsia"/>
                <w:color w:val="000000"/>
                <w:sz w:val="18"/>
                <w:szCs w:val="18"/>
              </w:rPr>
              <w:t>技术问题解决方案进行技术分析、论证，同时考虑经济、环境、法律、安全、健康、伦理等因素，确定方案的合理性</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普通话语音</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舞台发声</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1114" w:leftChars="0" w:rightChars="0" w:firstLineChars="619"/>
              <w:jc w:val="both"/>
              <w:textAlignment w:val="auto"/>
              <w:outlineLvl w:val="9"/>
              <w:rPr>
                <w:rFonts w:ascii="宋体" w:eastAsia="宋体" w:hAnsi="宋体" w:cs="宋体" w:hint="eastAsia"/>
                <w:color w:val="000000"/>
                <w:kern w:val="0"/>
                <w:sz w:val="18"/>
                <w:szCs w:val="18"/>
              </w:rPr>
            </w:pPr>
            <w:r>
              <w:rPr>
                <w:rFonts w:eastAsia="宋体" w:cs="宋体" w:hint="eastAsia"/>
                <w:bCs/>
                <w:color w:val="000000"/>
                <w:sz w:val="18"/>
                <w:szCs w:val="18"/>
                <w:lang w:eastAsia="zh-CN"/>
              </w:rPr>
              <w:t>台词</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语言技巧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3.3了解</w:t>
            </w:r>
            <w:r>
              <w:rPr>
                <w:rFonts w:ascii="宋体" w:eastAsia="宋体" w:hAnsi="宋体" w:cs="宋体" w:hint="eastAsia"/>
                <w:color w:val="000000"/>
                <w:sz w:val="18"/>
                <w:szCs w:val="18"/>
                <w:lang w:eastAsia="zh-CN"/>
              </w:rPr>
              <w:t>表演</w:t>
            </w:r>
            <w:r>
              <w:rPr>
                <w:rFonts w:ascii="宋体" w:eastAsia="宋体" w:hAnsi="宋体" w:cs="宋体" w:hint="eastAsia"/>
                <w:color w:val="000000"/>
                <w:sz w:val="18"/>
                <w:szCs w:val="18"/>
              </w:rPr>
              <w:t>过程相关技术标准，能够根据解决方案进行</w:t>
            </w:r>
            <w:r>
              <w:rPr>
                <w:rFonts w:ascii="宋体" w:eastAsia="宋体" w:hAnsi="宋体" w:cs="宋体" w:hint="eastAsia"/>
                <w:color w:val="000000"/>
                <w:sz w:val="18"/>
                <w:szCs w:val="18"/>
                <w:lang w:eastAsia="zh-CN"/>
              </w:rPr>
              <w:t>话剧、影视剧</w:t>
            </w:r>
            <w:r>
              <w:rPr>
                <w:rFonts w:ascii="宋体" w:eastAsia="宋体" w:hAnsi="宋体" w:cs="宋体" w:hint="eastAsia"/>
                <w:color w:val="000000"/>
                <w:sz w:val="18"/>
                <w:szCs w:val="18"/>
              </w:rPr>
              <w:t>的</w:t>
            </w:r>
            <w:r>
              <w:rPr>
                <w:rFonts w:ascii="宋体" w:eastAsia="宋体" w:hAnsi="宋体" w:cs="宋体" w:hint="eastAsia"/>
                <w:color w:val="000000"/>
                <w:sz w:val="18"/>
                <w:szCs w:val="18"/>
                <w:lang w:val="en-US" w:eastAsia="zh-CN"/>
              </w:rPr>
              <w:t>创</w:t>
            </w:r>
            <w:r>
              <w:rPr>
                <w:rFonts w:ascii="宋体" w:eastAsia="宋体" w:hAnsi="宋体" w:cs="宋体" w:hint="eastAsia"/>
                <w:color w:val="000000"/>
                <w:sz w:val="18"/>
                <w:szCs w:val="18"/>
              </w:rPr>
              <w:t>作</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钢琴基础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eastAsia="宋体" w:cs="宋体" w:hint="eastAsia"/>
                <w:color w:val="000000"/>
                <w:kern w:val="0"/>
                <w:sz w:val="18"/>
                <w:szCs w:val="18"/>
                <w:lang w:val="en-US" w:eastAsia="zh-CN"/>
              </w:rPr>
              <w:t>表演（三）</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eastAsia="宋体" w:cs="宋体" w:hint="eastAsia"/>
                <w:color w:val="000000"/>
                <w:kern w:val="0"/>
                <w:sz w:val="18"/>
                <w:szCs w:val="18"/>
                <w:lang w:eastAsia="zh-CN"/>
              </w:rPr>
              <w:t>表演（四）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Times New Roman" w:hint="eastAsia"/>
                <w:bCs/>
                <w:color w:val="auto"/>
                <w:kern w:val="2"/>
                <w:sz w:val="18"/>
                <w:szCs w:val="18"/>
                <w:highlight w:val="none"/>
                <w:lang w:val="en-US" w:eastAsia="zh-CN" w:bidi="ar-SA"/>
              </w:rPr>
              <w:t>戏剧影视文学（编剧）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4.</w:t>
            </w:r>
            <w:r>
              <w:rPr>
                <w:rFonts w:ascii="宋体" w:eastAsia="宋体" w:hAnsi="宋体" w:cs="宋体" w:hint="eastAsia"/>
                <w:color w:val="000000"/>
                <w:sz w:val="18"/>
                <w:szCs w:val="18"/>
              </w:rPr>
              <w:t>能够基于基本的</w:t>
            </w:r>
            <w:r>
              <w:rPr>
                <w:rFonts w:eastAsia="宋体" w:cs="宋体" w:hint="eastAsia"/>
                <w:color w:val="000000"/>
                <w:sz w:val="18"/>
                <w:szCs w:val="18"/>
                <w:lang w:eastAsia="zh-CN"/>
              </w:rPr>
              <w:t>表演</w:t>
            </w:r>
            <w:r>
              <w:rPr>
                <w:rFonts w:ascii="宋体" w:eastAsia="宋体" w:hAnsi="宋体" w:cs="宋体" w:hint="eastAsia"/>
                <w:color w:val="000000"/>
                <w:sz w:val="18"/>
                <w:szCs w:val="18"/>
                <w:lang w:val="en-US" w:eastAsia="zh-CN"/>
              </w:rPr>
              <w:t>理论</w:t>
            </w:r>
            <w:r>
              <w:rPr>
                <w:rFonts w:ascii="宋体" w:eastAsia="宋体" w:hAnsi="宋体" w:cs="宋体" w:hint="eastAsia"/>
                <w:color w:val="000000"/>
                <w:sz w:val="18"/>
                <w:szCs w:val="18"/>
              </w:rPr>
              <w:t>和方法对</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问题进行研究，包括调查分析、理论研究、数据分析与实验验证，并通过信息总和得到合理有效的结论</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4.1能够独立完成</w:t>
            </w:r>
            <w:r>
              <w:rPr>
                <w:rFonts w:eastAsia="宋体" w:cs="宋体" w:hint="eastAsia"/>
                <w:color w:val="000000"/>
                <w:sz w:val="18"/>
                <w:szCs w:val="18"/>
                <w:lang w:eastAsia="zh-CN"/>
              </w:rPr>
              <w:t>表演</w:t>
            </w:r>
            <w:r>
              <w:rPr>
                <w:rFonts w:ascii="宋体" w:eastAsia="宋体" w:hAnsi="宋体" w:cs="宋体" w:hint="eastAsia"/>
                <w:color w:val="000000"/>
                <w:sz w:val="18"/>
                <w:szCs w:val="18"/>
                <w:lang w:eastAsia="zh-CN"/>
              </w:rPr>
              <w:t>相关</w:t>
            </w:r>
            <w:r>
              <w:rPr>
                <w:rFonts w:ascii="宋体" w:eastAsia="宋体" w:hAnsi="宋体" w:cs="宋体" w:hint="eastAsia"/>
                <w:color w:val="000000"/>
                <w:sz w:val="18"/>
                <w:szCs w:val="18"/>
              </w:rPr>
              <w:t>问题的理论分析，能够完成电视或广播节目的创作，并安全地开展实践</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导演基础</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非线性编辑</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hAnsi="宋体" w:cs="宋体" w:hint="eastAsia"/>
                <w:color w:val="000000"/>
                <w:kern w:val="0"/>
                <w:sz w:val="18"/>
                <w:szCs w:val="18"/>
                <w:lang w:val="en-US" w:eastAsia="zh-CN"/>
              </w:rPr>
              <w:t>毕业</w:t>
            </w:r>
            <w:r>
              <w:rPr>
                <w:rFonts w:ascii="宋体" w:eastAsia="宋体" w:hAnsi="宋体" w:cs="宋体" w:hint="eastAsia"/>
                <w:color w:val="000000"/>
                <w:kern w:val="0"/>
                <w:sz w:val="18"/>
                <w:szCs w:val="18"/>
                <w:lang w:eastAsia="zh-CN"/>
              </w:rPr>
              <w:t>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4.2能够正确的采集、分析和整理实践数据</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形体综合实训</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表演综合实训</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声乐综合训练</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台词综合训练</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eastAsia="宋体" w:cs="宋体" w:hint="eastAsia"/>
                <w:bCs/>
                <w:color w:val="000000"/>
                <w:sz w:val="18"/>
                <w:szCs w:val="18"/>
                <w:lang w:eastAsia="zh-CN"/>
              </w:rPr>
              <w:t>专业实习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4.3能够解释实验结果，并与理论进行比较分析</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艺术概论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导演基础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both"/>
              <w:textAlignment w:val="auto"/>
              <w:outlineLvl w:val="9"/>
              <w:rPr>
                <w:rFonts w:ascii="宋体" w:eastAsia="宋体" w:hAnsi="宋体" w:cs="宋体" w:hint="default"/>
                <w:color w:val="000000"/>
                <w:kern w:val="0"/>
                <w:sz w:val="18"/>
                <w:szCs w:val="18"/>
                <w:lang w:val="en-US" w:eastAsia="zh-CN"/>
              </w:rPr>
            </w:pPr>
            <w:r>
              <w:rPr>
                <w:rFonts w:ascii="宋体" w:eastAsia="宋体" w:hAnsi="宋体" w:cs="宋体" w:hint="eastAsia"/>
                <w:color w:val="000000"/>
                <w:kern w:val="0"/>
                <w:sz w:val="18"/>
                <w:szCs w:val="18"/>
                <w:lang w:val="en-US" w:eastAsia="zh-CN"/>
              </w:rPr>
              <w:t xml:space="preserve">       </w:t>
            </w:r>
            <w:r>
              <w:rPr>
                <w:rFonts w:eastAsia="宋体" w:cs="Times New Roman" w:hint="eastAsia"/>
                <w:bCs/>
                <w:color w:val="auto"/>
                <w:kern w:val="2"/>
                <w:sz w:val="18"/>
                <w:szCs w:val="18"/>
                <w:highlight w:val="none"/>
                <w:lang w:val="en-US" w:eastAsia="zh-CN" w:bidi="ar-SA"/>
              </w:rPr>
              <w:t>戏剧影视文学（编剧）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舞台发声</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中外电影史</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5.</w:t>
            </w:r>
            <w:r>
              <w:rPr>
                <w:rFonts w:ascii="宋体" w:eastAsia="宋体" w:hAnsi="宋体" w:cs="宋体" w:hint="eastAsia"/>
                <w:color w:val="000000"/>
                <w:sz w:val="18"/>
                <w:szCs w:val="18"/>
              </w:rPr>
              <w:t>能够针对</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问题，选择与使用恰当的技术、</w:t>
            </w:r>
            <w:r>
              <w:rPr>
                <w:rFonts w:ascii="宋体" w:eastAsia="宋体" w:hAnsi="宋体" w:cs="宋体" w:hint="eastAsia"/>
                <w:color w:val="000000"/>
                <w:sz w:val="18"/>
                <w:szCs w:val="18"/>
                <w:lang w:val="en-US" w:eastAsia="zh-CN"/>
              </w:rPr>
              <w:t>先进的传播</w:t>
            </w:r>
            <w:r>
              <w:rPr>
                <w:rFonts w:ascii="宋体" w:eastAsia="宋体" w:hAnsi="宋体" w:cs="宋体" w:hint="eastAsia"/>
                <w:color w:val="000000"/>
                <w:sz w:val="18"/>
                <w:szCs w:val="18"/>
              </w:rPr>
              <w:t>工具和信息技术工具，包括对</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问题的模拟与分析，并能够理解其局限性</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5.1能够针对</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问题，开发、选择与使用恰当的</w:t>
            </w:r>
            <w:r>
              <w:rPr>
                <w:rFonts w:ascii="宋体" w:eastAsia="宋体" w:hAnsi="宋体" w:cs="宋体" w:hint="eastAsia"/>
                <w:color w:val="000000"/>
                <w:sz w:val="18"/>
                <w:szCs w:val="18"/>
                <w:lang w:val="en-US" w:eastAsia="zh-CN"/>
              </w:rPr>
              <w:t>软件和技术</w:t>
            </w:r>
            <w:r>
              <w:rPr>
                <w:rFonts w:ascii="宋体" w:eastAsia="宋体" w:hAnsi="宋体" w:cs="宋体" w:hint="eastAsia"/>
                <w:color w:val="000000"/>
                <w:sz w:val="18"/>
                <w:szCs w:val="18"/>
              </w:rPr>
              <w:t>工具</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0.5</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非线性编辑</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bCs/>
                <w:color w:val="000000"/>
                <w:sz w:val="18"/>
                <w:szCs w:val="18"/>
              </w:rPr>
              <w:t>摄影</w:t>
            </w:r>
            <w:r>
              <w:rPr>
                <w:rFonts w:eastAsia="宋体" w:cs="宋体" w:hint="eastAsia"/>
                <w:bCs/>
                <w:color w:val="000000"/>
                <w:sz w:val="18"/>
                <w:szCs w:val="18"/>
                <w:lang w:eastAsia="zh-CN"/>
              </w:rPr>
              <w:t>摄像</w:t>
            </w:r>
            <w:r>
              <w:rPr>
                <w:rFonts w:ascii="宋体" w:eastAsia="宋体" w:hAnsi="宋体" w:cs="宋体" w:hint="eastAsia"/>
                <w:bCs/>
                <w:color w:val="000000"/>
                <w:sz w:val="18"/>
                <w:szCs w:val="18"/>
              </w:rPr>
              <w:t>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bCs/>
                <w:color w:val="000000"/>
                <w:sz w:val="18"/>
                <w:szCs w:val="18"/>
              </w:rPr>
            </w:pPr>
            <w:r>
              <w:rPr>
                <w:rFonts w:eastAsia="宋体" w:cs="Times New Roman" w:hint="eastAsia"/>
                <w:bCs/>
                <w:color w:val="auto"/>
                <w:kern w:val="2"/>
                <w:sz w:val="18"/>
                <w:szCs w:val="18"/>
                <w:highlight w:val="none"/>
                <w:lang w:val="en-US" w:eastAsia="zh-CN" w:bidi="ar-SA"/>
              </w:rPr>
              <w:t>戏剧影视文学（编剧）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5.2能够熟练运用</w:t>
            </w:r>
            <w:r>
              <w:rPr>
                <w:rFonts w:ascii="宋体" w:eastAsia="宋体" w:hAnsi="宋体" w:cs="宋体" w:hint="eastAsia"/>
                <w:color w:val="000000"/>
                <w:sz w:val="18"/>
                <w:szCs w:val="18"/>
                <w:lang w:eastAsia="zh-CN"/>
              </w:rPr>
              <w:t>录制剪辑</w:t>
            </w:r>
            <w:r>
              <w:rPr>
                <w:rFonts w:ascii="宋体" w:eastAsia="宋体" w:hAnsi="宋体" w:cs="宋体" w:hint="eastAsia"/>
                <w:color w:val="000000"/>
                <w:sz w:val="18"/>
                <w:szCs w:val="18"/>
              </w:rPr>
              <w:t>软件，表达</w:t>
            </w:r>
            <w:r>
              <w:rPr>
                <w:rFonts w:ascii="宋体" w:eastAsia="宋体" w:hAnsi="宋体" w:cs="宋体" w:hint="eastAsia"/>
                <w:color w:val="000000"/>
                <w:sz w:val="18"/>
                <w:szCs w:val="18"/>
                <w:lang w:eastAsia="zh-CN"/>
              </w:rPr>
              <w:t>表演</w:t>
            </w:r>
            <w:r>
              <w:rPr>
                <w:rFonts w:ascii="宋体" w:eastAsia="宋体" w:hAnsi="宋体" w:cs="宋体" w:hint="eastAsia"/>
                <w:color w:val="000000"/>
                <w:sz w:val="18"/>
                <w:szCs w:val="18"/>
              </w:rPr>
              <w:t>创作问题</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rPr>
              <w:t>非线性编辑</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表演综合实训</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5.3能够对</w:t>
            </w:r>
            <w:r>
              <w:rPr>
                <w:rFonts w:eastAsia="宋体" w:cs="宋体" w:hint="eastAsia"/>
                <w:color w:val="000000"/>
                <w:sz w:val="18"/>
                <w:szCs w:val="18"/>
                <w:lang w:eastAsia="zh-CN"/>
              </w:rPr>
              <w:t>表演</w:t>
            </w:r>
            <w:r>
              <w:rPr>
                <w:rFonts w:ascii="宋体" w:eastAsia="宋体" w:hAnsi="宋体" w:cs="宋体" w:hint="eastAsia"/>
                <w:color w:val="000000"/>
                <w:sz w:val="18"/>
                <w:szCs w:val="18"/>
              </w:rPr>
              <w:t>过程中可能出现的问题及解决方案进行模拟与分析，并能够理解其局限性</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美术作品赏析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bCs/>
                <w:color w:val="000000"/>
                <w:sz w:val="18"/>
                <w:szCs w:val="18"/>
                <w:lang w:eastAsia="zh-CN"/>
              </w:rPr>
              <w:t>戏曲身段</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芭蕾基本功训练</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eastAsia="宋体" w:cs="宋体" w:hint="eastAsia"/>
                <w:color w:val="000000"/>
                <w:kern w:val="0"/>
                <w:sz w:val="18"/>
                <w:szCs w:val="18"/>
                <w:lang w:val="en-US" w:eastAsia="zh-CN"/>
              </w:rPr>
              <w:t>导演基础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6.</w:t>
            </w:r>
            <w:r>
              <w:rPr>
                <w:rFonts w:ascii="宋体" w:eastAsia="宋体" w:hAnsi="宋体" w:cs="宋体" w:hint="eastAsia"/>
                <w:color w:val="000000"/>
                <w:sz w:val="18"/>
                <w:szCs w:val="18"/>
              </w:rPr>
              <w:t>能够基于</w:t>
            </w:r>
            <w:r>
              <w:rPr>
                <w:rFonts w:eastAsia="宋体" w:cs="宋体" w:hint="eastAsia"/>
                <w:color w:val="000000"/>
                <w:sz w:val="18"/>
                <w:szCs w:val="18"/>
                <w:lang w:eastAsia="zh-CN"/>
              </w:rPr>
              <w:t>表演</w:t>
            </w:r>
            <w:r>
              <w:rPr>
                <w:rFonts w:ascii="宋体" w:eastAsia="宋体" w:hAnsi="宋体" w:cs="宋体" w:hint="eastAsia"/>
                <w:color w:val="000000"/>
                <w:sz w:val="18"/>
                <w:szCs w:val="18"/>
              </w:rPr>
              <w:t>相关背景知识分析与评价媒体传播对社会、健康、安全、法律以及文化的影响，并理解应承担的责任</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6.1了解有关社会、健康、安全、法律以及文化等方面的方针、政策和法规</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思想道德修养与法律基础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马克思主义基本原理</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63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毛泽东思想和中国特色</w:t>
            </w:r>
          </w:p>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社会主义理论体系概论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ascii="宋体" w:eastAsia="宋体" w:hAnsi="宋体" w:cs="宋体" w:hint="eastAsia"/>
                <w:color w:val="000000"/>
                <w:kern w:val="0"/>
                <w:sz w:val="18"/>
                <w:szCs w:val="18"/>
                <w:lang w:val="en-US" w:eastAsia="zh-CN"/>
              </w:rPr>
              <w:t>创新创业基础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lang w:eastAsia="zh-CN"/>
              </w:rPr>
              <w:t>军事训练</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61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6.2正确认识</w:t>
            </w:r>
            <w:r>
              <w:rPr>
                <w:rFonts w:eastAsia="宋体" w:cs="宋体" w:hint="eastAsia"/>
                <w:color w:val="000000"/>
                <w:sz w:val="18"/>
                <w:szCs w:val="18"/>
                <w:lang w:eastAsia="zh-CN"/>
              </w:rPr>
              <w:t>表演</w:t>
            </w:r>
            <w:r>
              <w:rPr>
                <w:rFonts w:ascii="宋体" w:eastAsia="宋体" w:hAnsi="宋体" w:cs="宋体" w:hint="eastAsia"/>
                <w:color w:val="000000"/>
                <w:sz w:val="18"/>
                <w:szCs w:val="18"/>
              </w:rPr>
              <w:t>中问题的解决方案对社会、安全以及文化的影响，并理解应承担的责任</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36" w:leftChars="0" w:rightChars="0" w:firstLineChars="2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专业实习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6</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7.</w:t>
            </w:r>
            <w:r>
              <w:rPr>
                <w:rFonts w:ascii="宋体" w:eastAsia="宋体" w:hAnsi="宋体" w:cs="宋体" w:hint="eastAsia"/>
                <w:color w:val="000000"/>
                <w:sz w:val="18"/>
                <w:szCs w:val="18"/>
              </w:rPr>
              <w:t>能够理解和评价</w:t>
            </w:r>
            <w:r>
              <w:rPr>
                <w:rFonts w:eastAsia="宋体" w:cs="宋体" w:hint="eastAsia"/>
                <w:color w:val="000000"/>
                <w:sz w:val="18"/>
                <w:szCs w:val="18"/>
                <w:lang w:eastAsia="zh-CN"/>
              </w:rPr>
              <w:t>表演</w:t>
            </w:r>
            <w:r>
              <w:rPr>
                <w:rFonts w:ascii="宋体" w:eastAsia="宋体" w:hAnsi="宋体" w:cs="宋体" w:hint="eastAsia"/>
                <w:color w:val="000000"/>
                <w:sz w:val="18"/>
                <w:szCs w:val="18"/>
                <w:lang w:val="en-US" w:eastAsia="zh-CN"/>
              </w:rPr>
              <w:t>传播</w:t>
            </w:r>
            <w:r>
              <w:rPr>
                <w:rFonts w:ascii="宋体" w:eastAsia="宋体" w:hAnsi="宋体" w:cs="宋体" w:hint="eastAsia"/>
                <w:color w:val="000000"/>
                <w:sz w:val="18"/>
                <w:szCs w:val="18"/>
              </w:rPr>
              <w:t>对环境、社会可持续发展的影响</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7.1</w:t>
            </w:r>
            <w:r>
              <w:rPr>
                <w:rFonts w:eastAsia="宋体" w:cs="宋体" w:hint="eastAsia"/>
                <w:color w:val="000000"/>
                <w:sz w:val="18"/>
                <w:szCs w:val="18"/>
                <w:lang w:eastAsia="zh-CN"/>
              </w:rPr>
              <w:t>表演</w:t>
            </w:r>
            <w:r>
              <w:rPr>
                <w:rFonts w:ascii="宋体" w:eastAsia="宋体" w:hAnsi="宋体" w:cs="宋体" w:hint="eastAsia"/>
                <w:color w:val="000000"/>
                <w:sz w:val="18"/>
                <w:szCs w:val="18"/>
              </w:rPr>
              <w:t>实践对环境和可持续发展的影响</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思想道德修养与法律基础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毛泽东思想和中国特色</w:t>
            </w:r>
          </w:p>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社会主义理论体系概论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形势与政策</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语言技巧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表演大师作品分析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bCs/>
                <w:color w:val="000000"/>
                <w:sz w:val="18"/>
                <w:szCs w:val="18"/>
                <w:lang w:eastAsia="zh-CN"/>
              </w:rPr>
              <w:t>化妆与形象设计</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7.2能够针对</w:t>
            </w:r>
            <w:r>
              <w:rPr>
                <w:rFonts w:eastAsia="宋体" w:cs="宋体" w:hint="eastAsia"/>
                <w:color w:val="000000"/>
                <w:sz w:val="18"/>
                <w:szCs w:val="18"/>
                <w:lang w:eastAsia="zh-CN"/>
              </w:rPr>
              <w:t>表演</w:t>
            </w:r>
            <w:r>
              <w:rPr>
                <w:rFonts w:ascii="宋体" w:eastAsia="宋体" w:hAnsi="宋体" w:cs="宋体" w:hint="eastAsia"/>
                <w:color w:val="000000"/>
                <w:sz w:val="18"/>
                <w:szCs w:val="18"/>
              </w:rPr>
              <w:t>方面的解决方案进行综合评价</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观众心理学</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表演（三）</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adjustRightInd w:val="0"/>
              <w:snapToGrid w:val="0"/>
              <w:spacing w:line="240" w:lineRule="exact"/>
              <w:ind w:left="0" w:right="0" w:firstLine="720" w:leftChars="0" w:rightChars="0" w:firstLineChars="400"/>
              <w:jc w:val="both"/>
              <w:textAlignment w:val="auto"/>
              <w:outlineLvl w:val="9"/>
              <w:rPr>
                <w:rFonts w:ascii="宋体" w:eastAsia="宋体" w:hAnsi="宋体" w:cs="宋体" w:hint="eastAsia"/>
                <w:color w:val="000000"/>
                <w:kern w:val="0"/>
                <w:sz w:val="18"/>
                <w:szCs w:val="18"/>
              </w:rPr>
            </w:pPr>
            <w:r>
              <w:rPr>
                <w:rFonts w:ascii="宋体" w:eastAsia="宋体" w:hAnsi="宋体" w:cs="宋体" w:hint="eastAsia"/>
                <w:bCs/>
                <w:color w:val="000000"/>
                <w:sz w:val="18"/>
                <w:szCs w:val="18"/>
              </w:rPr>
              <w:t>形体</w:t>
            </w:r>
            <w:r>
              <w:rPr>
                <w:rFonts w:eastAsia="宋体" w:cs="宋体" w:hint="eastAsia"/>
                <w:bCs/>
                <w:color w:val="000000"/>
                <w:sz w:val="18"/>
                <w:szCs w:val="18"/>
                <w:lang w:eastAsia="zh-CN"/>
              </w:rPr>
              <w:t>综合</w:t>
            </w:r>
            <w:r>
              <w:rPr>
                <w:rFonts w:ascii="宋体" w:eastAsia="宋体" w:hAnsi="宋体" w:cs="宋体" w:hint="eastAsia"/>
                <w:bCs/>
                <w:color w:val="000000"/>
                <w:sz w:val="18"/>
                <w:szCs w:val="18"/>
              </w:rPr>
              <w:t>训练</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val="en-US" w:eastAsia="zh-CN"/>
              </w:rPr>
              <w:t>8.</w:t>
            </w:r>
            <w:r>
              <w:rPr>
                <w:rFonts w:ascii="宋体" w:eastAsia="宋体" w:hAnsi="宋体" w:cs="宋体" w:hint="eastAsia"/>
                <w:color w:val="000000"/>
                <w:sz w:val="18"/>
                <w:szCs w:val="18"/>
              </w:rPr>
              <w:t>具有人文社会科学素养和社会责任感，能够在</w:t>
            </w:r>
            <w:r>
              <w:rPr>
                <w:rFonts w:eastAsia="宋体" w:cs="宋体" w:hint="eastAsia"/>
                <w:color w:val="000000"/>
                <w:sz w:val="18"/>
                <w:szCs w:val="18"/>
                <w:lang w:eastAsia="zh-CN"/>
              </w:rPr>
              <w:t>表演</w:t>
            </w:r>
            <w:r>
              <w:rPr>
                <w:rFonts w:ascii="宋体" w:eastAsia="宋体" w:hAnsi="宋体" w:cs="宋体" w:hint="eastAsia"/>
                <w:color w:val="000000"/>
                <w:sz w:val="18"/>
                <w:szCs w:val="18"/>
              </w:rPr>
              <w:t>工作实践中理解并遵守职业道德和行为规范，履行一个媒体人的社会责任</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8.1具备良好的政治素养、道德品质，遵纪守法，具有良好的身体素质和心理素质，身心健康</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思想道德修养与法律基础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中国近</w:t>
            </w:r>
            <w:r>
              <w:rPr>
                <w:rFonts w:ascii="宋体" w:eastAsia="宋体" w:hAnsi="宋体" w:cs="宋体" w:hint="eastAsia"/>
                <w:color w:val="000000"/>
                <w:kern w:val="0"/>
                <w:sz w:val="18"/>
                <w:szCs w:val="18"/>
                <w:lang w:eastAsia="zh-CN"/>
              </w:rPr>
              <w:t>现</w:t>
            </w:r>
            <w:r>
              <w:rPr>
                <w:rFonts w:ascii="宋体" w:eastAsia="宋体" w:hAnsi="宋体" w:cs="宋体" w:hint="eastAsia"/>
                <w:color w:val="000000"/>
                <w:kern w:val="0"/>
                <w:sz w:val="18"/>
                <w:szCs w:val="18"/>
              </w:rPr>
              <w:t>代史纲要</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lang w:eastAsia="zh-CN"/>
              </w:rPr>
              <w:t>军事化教育管理</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57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eastAsia="宋体" w:cs="宋体" w:hint="eastAsia"/>
                <w:color w:val="000000"/>
                <w:sz w:val="18"/>
                <w:szCs w:val="18"/>
                <w:lang w:eastAsia="zh-CN"/>
              </w:rPr>
              <w:t>分析</w:t>
            </w: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毛泽东思想和中国特色</w:t>
            </w:r>
          </w:p>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社会主义理论体系概论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大学体育一、二、三、四</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8.2具有良好的</w:t>
            </w:r>
            <w:r>
              <w:rPr>
                <w:rFonts w:ascii="宋体" w:eastAsia="宋体" w:hAnsi="宋体" w:cs="宋体" w:hint="eastAsia"/>
                <w:color w:val="000000"/>
                <w:sz w:val="18"/>
                <w:szCs w:val="18"/>
                <w:lang w:val="en-US" w:eastAsia="zh-CN"/>
              </w:rPr>
              <w:t>文化和素质</w:t>
            </w:r>
            <w:r>
              <w:rPr>
                <w:rFonts w:ascii="宋体" w:eastAsia="宋体" w:hAnsi="宋体" w:cs="宋体" w:hint="eastAsia"/>
                <w:color w:val="000000"/>
                <w:sz w:val="18"/>
                <w:szCs w:val="18"/>
              </w:rPr>
              <w:t>，遵守行业规范，具有良好职业道德</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思想道德修养与法律基础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马克思主义基本原理</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525"/>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rPr>
            </w:pPr>
            <w:r>
              <w:rPr>
                <w:rFonts w:ascii="宋体" w:eastAsia="宋体" w:hAnsi="宋体" w:cs="宋体" w:hint="eastAsia"/>
                <w:bCs/>
                <w:color w:val="000000"/>
                <w:sz w:val="18"/>
                <w:szCs w:val="18"/>
              </w:rPr>
              <w:t>毛泽东思想和中国特色</w:t>
            </w:r>
          </w:p>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bCs/>
                <w:color w:val="000000"/>
                <w:sz w:val="18"/>
                <w:szCs w:val="18"/>
              </w:rPr>
              <w:t>社会主义理论体系概论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bCs/>
                <w:color w:val="000000"/>
                <w:sz w:val="18"/>
                <w:szCs w:val="18"/>
                <w:lang w:eastAsia="zh-CN"/>
              </w:rPr>
            </w:pPr>
            <w:r>
              <w:rPr>
                <w:rFonts w:ascii="宋体" w:eastAsia="宋体" w:hAnsi="宋体" w:cs="宋体" w:hint="eastAsia"/>
                <w:bCs/>
                <w:color w:val="000000"/>
                <w:sz w:val="18"/>
                <w:szCs w:val="18"/>
                <w:lang w:eastAsia="zh-CN"/>
              </w:rPr>
              <w:t>职业发展与就业指导</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val="en-US" w:eastAsia="zh-CN"/>
              </w:rPr>
            </w:pPr>
            <w:r>
              <w:rPr>
                <w:rFonts w:ascii="宋体" w:eastAsia="宋体" w:hAnsi="宋体" w:cs="宋体" w:hint="eastAsia"/>
                <w:color w:val="000000"/>
                <w:kern w:val="0"/>
                <w:sz w:val="18"/>
                <w:szCs w:val="18"/>
                <w:lang w:val="en-US" w:eastAsia="zh-CN"/>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lang w:eastAsia="zh-CN"/>
              </w:rPr>
              <w:t>军事理论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val="en-US" w:eastAsia="zh-CN"/>
              </w:rPr>
            </w:pPr>
            <w:r>
              <w:rPr>
                <w:rFonts w:ascii="宋体" w:eastAsia="宋体" w:hAnsi="宋体" w:cs="宋体" w:hint="eastAsia"/>
                <w:color w:val="000000"/>
                <w:kern w:val="0"/>
                <w:sz w:val="18"/>
                <w:szCs w:val="18"/>
                <w:lang w:val="en-US" w:eastAsia="zh-CN"/>
              </w:rPr>
              <w:t>0.1</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hAnsi="宋体" w:cs="宋体" w:hint="eastAsia"/>
                <w:color w:val="000000"/>
                <w:kern w:val="0"/>
                <w:sz w:val="18"/>
                <w:szCs w:val="18"/>
                <w:lang w:val="en-US" w:eastAsia="zh-CN"/>
              </w:rPr>
              <w:t>毕业</w:t>
            </w:r>
            <w:r>
              <w:rPr>
                <w:rFonts w:ascii="宋体" w:eastAsia="宋体" w:hAnsi="宋体" w:cs="宋体" w:hint="eastAsia"/>
                <w:color w:val="000000"/>
                <w:kern w:val="0"/>
                <w:sz w:val="18"/>
                <w:szCs w:val="18"/>
              </w:rPr>
              <w:t>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6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9</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能够在</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问题中，承担个体应负责任，并能与团队成员紧密合作</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9.1理解团队合作的重要性，具有在不同的位置上各尽所能、与其他成员协调合作的团队精神和能力，能够在团队合作中进行分工与协作，正确处理个人与团队的关系</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表演综合实训</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4</w:t>
            </w:r>
          </w:p>
        </w:tc>
      </w:tr>
      <w:tr>
        <w:tblPrEx>
          <w:tblW w:w="0" w:type="auto"/>
          <w:jc w:val="center"/>
          <w:tblLayout w:type="fixed"/>
          <w:tblCellMar>
            <w:top w:w="0" w:type="dxa"/>
            <w:left w:w="108" w:type="dxa"/>
            <w:bottom w:w="0" w:type="dxa"/>
            <w:right w:w="108" w:type="dxa"/>
          </w:tblCellMar>
          <w:tblLook w:val="0000"/>
        </w:tblPrEx>
        <w:trPr>
          <w:trHeight w:val="735"/>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大学体育一、二、三、四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767"/>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hAnsi="宋体" w:cs="宋体" w:hint="eastAsia"/>
                <w:color w:val="000000"/>
                <w:kern w:val="0"/>
                <w:sz w:val="18"/>
                <w:szCs w:val="18"/>
                <w:lang w:val="en-US" w:eastAsia="zh-CN"/>
              </w:rPr>
              <w:t>毕业</w:t>
            </w:r>
            <w:r>
              <w:rPr>
                <w:rFonts w:ascii="宋体" w:eastAsia="宋体" w:hAnsi="宋体" w:cs="宋体" w:hint="eastAsia"/>
                <w:color w:val="000000"/>
                <w:kern w:val="0"/>
                <w:sz w:val="18"/>
                <w:szCs w:val="18"/>
              </w:rPr>
              <w:t>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535"/>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9.2了解多学科技术背景和技术特点，能够在多学科背景下的团队中承担个体、团队成员以及负责人的角色，并能够按照需求承担相应任务</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创新创业基础</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6</w:t>
            </w:r>
          </w:p>
        </w:tc>
      </w:tr>
      <w:tr>
        <w:tblPrEx>
          <w:tblW w:w="0" w:type="auto"/>
          <w:jc w:val="center"/>
          <w:tblLayout w:type="fixed"/>
          <w:tblCellMar>
            <w:top w:w="0" w:type="dxa"/>
            <w:left w:w="108" w:type="dxa"/>
            <w:bottom w:w="0" w:type="dxa"/>
            <w:right w:w="108" w:type="dxa"/>
          </w:tblCellMar>
          <w:tblLook w:val="0000"/>
        </w:tblPrEx>
        <w:trPr>
          <w:trHeight w:val="505"/>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highlight w:val="none"/>
              </w:rPr>
              <w:t>公益劳动</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val="en-US" w:eastAsia="zh-CN"/>
              </w:rPr>
            </w:pPr>
            <w:r>
              <w:rPr>
                <w:rFonts w:ascii="宋体" w:eastAsia="宋体" w:hAnsi="宋体" w:cs="宋体" w:hint="eastAsia"/>
                <w:color w:val="000000"/>
                <w:kern w:val="0"/>
                <w:sz w:val="18"/>
                <w:szCs w:val="18"/>
                <w:lang w:val="en-US" w:eastAsia="zh-CN"/>
              </w:rPr>
              <w:t>第二课堂</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10</w:t>
            </w:r>
            <w:r>
              <w:rPr>
                <w:rFonts w:ascii="宋体" w:eastAsia="宋体" w:hAnsi="宋体" w:cs="宋体" w:hint="eastAsia"/>
                <w:color w:val="000000"/>
                <w:sz w:val="18"/>
                <w:szCs w:val="18"/>
                <w:lang w:eastAsia="zh-CN"/>
              </w:rPr>
              <w:t>.</w:t>
            </w:r>
            <w:r>
              <w:rPr>
                <w:rFonts w:ascii="宋体" w:eastAsia="宋体" w:hAnsi="宋体" w:cs="宋体" w:hint="eastAsia"/>
                <w:color w:val="000000"/>
                <w:sz w:val="18"/>
                <w:szCs w:val="18"/>
              </w:rPr>
              <w:t>了解</w:t>
            </w:r>
            <w:r>
              <w:rPr>
                <w:rFonts w:eastAsia="宋体" w:cs="宋体" w:hint="eastAsia"/>
                <w:color w:val="000000"/>
                <w:sz w:val="18"/>
                <w:szCs w:val="18"/>
                <w:lang w:eastAsia="zh-CN"/>
              </w:rPr>
              <w:t>表演</w:t>
            </w:r>
            <w:r>
              <w:rPr>
                <w:rFonts w:ascii="宋体" w:eastAsia="宋体" w:hAnsi="宋体" w:cs="宋体" w:hint="eastAsia"/>
                <w:color w:val="000000"/>
                <w:sz w:val="18"/>
                <w:szCs w:val="18"/>
              </w:rPr>
              <w:t>艺术的应用前景、需要和发展动态，能够与业界同行及社会公众进行有效沟通和交流，具备英语听、说、读、写、译的基本能力和使用网络、计算机的基本能力，并能够在跨文化背景下进行沟通和交流</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10.1能够规范的撰写</w:t>
            </w:r>
            <w:r>
              <w:rPr>
                <w:rFonts w:ascii="宋体" w:eastAsia="宋体" w:hAnsi="宋体" w:cs="宋体" w:hint="eastAsia"/>
                <w:color w:val="000000"/>
                <w:sz w:val="18"/>
                <w:szCs w:val="18"/>
                <w:lang w:val="en-US" w:eastAsia="zh-CN"/>
              </w:rPr>
              <w:t>报告和文稿</w:t>
            </w:r>
            <w:r>
              <w:rPr>
                <w:rFonts w:ascii="宋体" w:eastAsia="宋体" w:hAnsi="宋体" w:cs="宋体" w:hint="eastAsia"/>
                <w:color w:val="000000"/>
                <w:sz w:val="18"/>
                <w:szCs w:val="18"/>
              </w:rPr>
              <w:t>，表达</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问题的解决方案、过程和结果</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表演概论</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艺术概论</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10.2能够就</w:t>
            </w:r>
            <w:r>
              <w:rPr>
                <w:rFonts w:eastAsia="宋体" w:cs="宋体" w:hint="eastAsia"/>
                <w:color w:val="000000"/>
                <w:sz w:val="18"/>
                <w:szCs w:val="18"/>
                <w:lang w:eastAsia="zh-CN"/>
              </w:rPr>
              <w:t>表演</w:t>
            </w:r>
            <w:r>
              <w:rPr>
                <w:rFonts w:ascii="宋体" w:eastAsia="宋体" w:hAnsi="宋体" w:cs="宋体" w:hint="eastAsia"/>
                <w:color w:val="000000"/>
                <w:sz w:val="18"/>
                <w:szCs w:val="18"/>
              </w:rPr>
              <w:t>等问题，与业界同行及社会公众进行有效的交流和沟通</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文化礼仪</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tabs>
                <w:tab w:val="center" w:pos="1323"/>
                <w:tab w:val="right" w:pos="2526"/>
              </w:tabs>
              <w:kinsoku/>
              <w:wordWrap/>
              <w:overflowPunct/>
              <w:topLinePunct w:val="0"/>
              <w:autoSpaceDE/>
              <w:autoSpaceDN/>
              <w:bidi w:val="0"/>
              <w:spacing w:line="240" w:lineRule="exact"/>
              <w:ind w:left="0" w:right="0" w:leftChars="0" w:rightChars="0"/>
              <w:jc w:val="left"/>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val="en-US" w:eastAsia="zh-CN"/>
              </w:rPr>
              <w:tab/>
            </w:r>
            <w:r>
              <w:rPr>
                <w:rFonts w:eastAsia="宋体" w:cs="宋体" w:hint="eastAsia"/>
                <w:color w:val="000000"/>
                <w:kern w:val="0"/>
                <w:sz w:val="18"/>
                <w:szCs w:val="18"/>
                <w:lang w:val="en-US" w:eastAsia="zh-CN"/>
              </w:rPr>
              <w:t>表演大师作品分析</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10.3能够阅读</w:t>
            </w:r>
            <w:r>
              <w:rPr>
                <w:rFonts w:eastAsia="宋体" w:cs="宋体" w:hint="eastAsia"/>
                <w:color w:val="000000"/>
                <w:sz w:val="18"/>
                <w:szCs w:val="18"/>
                <w:lang w:eastAsia="zh-CN"/>
              </w:rPr>
              <w:t>表演</w:t>
            </w:r>
            <w:r>
              <w:rPr>
                <w:rFonts w:ascii="宋体" w:eastAsia="宋体" w:hAnsi="宋体" w:cs="宋体" w:hint="eastAsia"/>
                <w:color w:val="000000"/>
                <w:sz w:val="18"/>
                <w:szCs w:val="18"/>
              </w:rPr>
              <w:t>相关领域文献资料，了解国内外</w:t>
            </w:r>
            <w:r>
              <w:rPr>
                <w:rFonts w:eastAsia="宋体" w:cs="宋体" w:hint="eastAsia"/>
                <w:color w:val="000000"/>
                <w:sz w:val="18"/>
                <w:szCs w:val="18"/>
                <w:lang w:eastAsia="zh-CN"/>
              </w:rPr>
              <w:t>表演</w:t>
            </w:r>
            <w:r>
              <w:rPr>
                <w:rFonts w:ascii="宋体" w:eastAsia="宋体" w:hAnsi="宋体" w:cs="宋体" w:hint="eastAsia"/>
                <w:color w:val="000000"/>
                <w:sz w:val="18"/>
                <w:szCs w:val="18"/>
              </w:rPr>
              <w:t>领域的发展动态</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default"/>
                <w:color w:val="000000"/>
                <w:kern w:val="0"/>
                <w:sz w:val="18"/>
                <w:szCs w:val="18"/>
                <w:lang w:val="en-US" w:eastAsia="zh-CN"/>
              </w:rPr>
            </w:pPr>
            <w:r>
              <w:rPr>
                <w:rFonts w:ascii="宋体" w:eastAsia="宋体" w:hAnsi="宋体" w:cs="宋体" w:hint="eastAsia"/>
                <w:color w:val="000000"/>
                <w:kern w:val="0"/>
                <w:sz w:val="18"/>
                <w:szCs w:val="18"/>
                <w:highlight w:val="none"/>
                <w:lang w:eastAsia="zh-CN"/>
              </w:rPr>
              <w:t>大学外语</w:t>
            </w:r>
            <w:r>
              <w:rPr>
                <w:rFonts w:ascii="宋体" w:eastAsia="宋体" w:hAnsi="宋体" w:cs="宋体" w:hint="eastAsia"/>
                <w:color w:val="000000"/>
                <w:kern w:val="0"/>
                <w:sz w:val="18"/>
                <w:szCs w:val="18"/>
                <w:lang w:val="en-US" w:eastAsia="zh-CN"/>
              </w:rPr>
              <w:t>A一、二、三、四</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4</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0.6</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w:t>
            </w:r>
            <w:r>
              <w:rPr>
                <w:rFonts w:ascii="宋体" w:eastAsia="宋体" w:hAnsi="宋体" w:cs="宋体" w:hint="eastAsia"/>
                <w:color w:val="000000"/>
                <w:sz w:val="18"/>
                <w:szCs w:val="18"/>
                <w:lang w:val="en-US" w:eastAsia="zh-CN"/>
              </w:rPr>
              <w:t>1.</w:t>
            </w:r>
            <w:r>
              <w:rPr>
                <w:rFonts w:ascii="宋体" w:eastAsia="宋体" w:hAnsi="宋体" w:cs="宋体" w:hint="eastAsia"/>
                <w:color w:val="000000"/>
                <w:sz w:val="18"/>
                <w:szCs w:val="18"/>
              </w:rPr>
              <w:t>具有较强的自主学习能力和较高的综合素质，有不断学习和适应发展的能力</w:t>
            </w:r>
            <w:r>
              <w:rPr>
                <w:rFonts w:ascii="宋体" w:eastAsia="宋体" w:hAnsi="宋体" w:cs="宋体" w:hint="eastAsia"/>
                <w:color w:val="000000"/>
                <w:sz w:val="18"/>
                <w:szCs w:val="18"/>
                <w:lang w:eastAsia="zh-CN"/>
              </w:rPr>
              <w:t>。</w:t>
            </w: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w:t>
            </w:r>
            <w:r>
              <w:rPr>
                <w:rFonts w:ascii="宋体" w:eastAsia="宋体" w:hAnsi="宋体" w:cs="宋体" w:hint="eastAsia"/>
                <w:color w:val="000000"/>
                <w:sz w:val="18"/>
                <w:szCs w:val="18"/>
                <w:lang w:val="en-US" w:eastAsia="zh-CN"/>
              </w:rPr>
              <w:t>1</w:t>
            </w:r>
            <w:r>
              <w:rPr>
                <w:rFonts w:ascii="宋体" w:eastAsia="宋体" w:hAnsi="宋体" w:cs="宋体" w:hint="eastAsia"/>
                <w:color w:val="000000"/>
                <w:sz w:val="18"/>
                <w:szCs w:val="18"/>
              </w:rPr>
              <w:t>.1具有自主学习能力，能够针对</w:t>
            </w:r>
            <w:r>
              <w:rPr>
                <w:rFonts w:eastAsia="宋体" w:cs="宋体" w:hint="eastAsia"/>
                <w:color w:val="000000"/>
                <w:sz w:val="18"/>
                <w:szCs w:val="18"/>
                <w:lang w:eastAsia="zh-CN"/>
              </w:rPr>
              <w:t>表演</w:t>
            </w:r>
            <w:r>
              <w:rPr>
                <w:rFonts w:ascii="宋体" w:eastAsia="宋体" w:hAnsi="宋体" w:cs="宋体" w:hint="eastAsia"/>
                <w:color w:val="000000"/>
                <w:sz w:val="18"/>
                <w:szCs w:val="18"/>
              </w:rPr>
              <w:t>问题主动查阅资料并进行学习</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表演综合实训</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中国民族民间舞（二）</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0.2</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lang w:eastAsia="zh-CN"/>
              </w:rPr>
            </w:pPr>
            <w:r>
              <w:rPr>
                <w:rFonts w:eastAsia="宋体" w:cs="宋体" w:hint="eastAsia"/>
                <w:color w:val="000000"/>
                <w:kern w:val="0"/>
                <w:sz w:val="18"/>
                <w:szCs w:val="18"/>
                <w:lang w:eastAsia="zh-CN"/>
              </w:rPr>
              <w:t>语言技巧</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w:t>
            </w:r>
            <w:r>
              <w:rPr>
                <w:rFonts w:ascii="宋体" w:eastAsia="宋体" w:hAnsi="宋体" w:cs="宋体" w:hint="eastAsia"/>
                <w:color w:val="000000"/>
                <w:kern w:val="0"/>
                <w:sz w:val="18"/>
                <w:szCs w:val="18"/>
                <w:lang w:val="en-US" w:eastAsia="zh-CN"/>
              </w:rPr>
              <w:t>3</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rPr>
            </w:pPr>
          </w:p>
        </w:tc>
        <w:tc>
          <w:tcPr>
            <w:tcW w:w="2569" w:type="dxa"/>
            <w:vMerge w:val="restart"/>
            <w:vAlign w:val="center"/>
          </w:tcPr>
          <w:p>
            <w:pPr>
              <w:keepNext w:val="0"/>
              <w:keepLines w:val="0"/>
              <w:pageBreakBefore w:val="0"/>
              <w:widowControl w:val="0"/>
              <w:kinsoku/>
              <w:wordWrap/>
              <w:overflowPunct/>
              <w:topLinePunct w:val="0"/>
              <w:autoSpaceDE/>
              <w:autoSpaceDN/>
              <w:bidi w:val="0"/>
              <w:spacing w:line="240" w:lineRule="auto"/>
              <w:ind w:left="0" w:right="0" w:leftChars="0" w:rightChars="0"/>
              <w:jc w:val="both"/>
              <w:textAlignment w:val="auto"/>
              <w:outlineLvl w:val="9"/>
              <w:rPr>
                <w:rFonts w:ascii="宋体" w:eastAsia="宋体" w:hAnsi="宋体" w:cs="宋体" w:hint="eastAsia"/>
                <w:color w:val="000000"/>
                <w:sz w:val="18"/>
                <w:szCs w:val="18"/>
                <w:lang w:eastAsia="zh-CN"/>
              </w:rPr>
            </w:pPr>
            <w:r>
              <w:rPr>
                <w:rFonts w:ascii="宋体" w:eastAsia="宋体" w:hAnsi="宋体" w:cs="宋体" w:hint="eastAsia"/>
                <w:color w:val="000000"/>
                <w:sz w:val="18"/>
                <w:szCs w:val="18"/>
              </w:rPr>
              <w:t>1</w:t>
            </w:r>
            <w:r>
              <w:rPr>
                <w:rFonts w:ascii="宋体" w:eastAsia="宋体" w:hAnsi="宋体" w:cs="宋体" w:hint="eastAsia"/>
                <w:color w:val="000000"/>
                <w:sz w:val="18"/>
                <w:szCs w:val="18"/>
                <w:lang w:val="en-US" w:eastAsia="zh-CN"/>
              </w:rPr>
              <w:t>1</w:t>
            </w:r>
            <w:r>
              <w:rPr>
                <w:rFonts w:ascii="宋体" w:eastAsia="宋体" w:hAnsi="宋体" w:cs="宋体" w:hint="eastAsia"/>
                <w:color w:val="000000"/>
                <w:sz w:val="18"/>
                <w:szCs w:val="18"/>
              </w:rPr>
              <w:t>.2具有终身学习意识，能够不断学习和适应</w:t>
            </w:r>
            <w:r>
              <w:rPr>
                <w:rFonts w:eastAsia="宋体" w:cs="宋体" w:hint="eastAsia"/>
                <w:color w:val="000000"/>
                <w:sz w:val="18"/>
                <w:szCs w:val="18"/>
                <w:lang w:eastAsia="zh-CN"/>
              </w:rPr>
              <w:t>表演</w:t>
            </w:r>
            <w:r>
              <w:rPr>
                <w:rFonts w:ascii="宋体" w:eastAsia="宋体" w:hAnsi="宋体" w:cs="宋体" w:hint="eastAsia"/>
                <w:color w:val="000000"/>
                <w:sz w:val="18"/>
                <w:szCs w:val="18"/>
              </w:rPr>
              <w:t>相关领域技术的发展</w:t>
            </w:r>
            <w:r>
              <w:rPr>
                <w:rFonts w:ascii="宋体" w:eastAsia="宋体" w:hAnsi="宋体" w:cs="宋体" w:hint="eastAsia"/>
                <w:color w:val="000000"/>
                <w:sz w:val="18"/>
                <w:szCs w:val="18"/>
                <w:lang w:eastAsia="zh-CN"/>
              </w:rPr>
              <w:t>。</w:t>
            </w: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hAnsi="宋体" w:cs="宋体" w:hint="eastAsia"/>
                <w:color w:val="000000"/>
                <w:kern w:val="0"/>
                <w:sz w:val="18"/>
                <w:szCs w:val="18"/>
                <w:lang w:val="en-US" w:eastAsia="zh-CN"/>
              </w:rPr>
              <w:t>毕业</w:t>
            </w:r>
            <w:r>
              <w:rPr>
                <w:rFonts w:ascii="宋体" w:eastAsia="宋体" w:hAnsi="宋体" w:cs="宋体" w:hint="eastAsia"/>
                <w:color w:val="000000"/>
                <w:kern w:val="0"/>
                <w:sz w:val="18"/>
                <w:szCs w:val="18"/>
              </w:rPr>
              <w:t>实习</w:t>
            </w:r>
          </w:p>
        </w:tc>
        <w:tc>
          <w:tcPr>
            <w:tcW w:w="1335"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0.5</w:t>
            </w:r>
          </w:p>
        </w:tc>
      </w:tr>
      <w:tr>
        <w:tblPrEx>
          <w:tblW w:w="0" w:type="auto"/>
          <w:jc w:val="center"/>
          <w:tblLayout w:type="fixed"/>
          <w:tblCellMar>
            <w:top w:w="0" w:type="dxa"/>
            <w:left w:w="108" w:type="dxa"/>
            <w:bottom w:w="0" w:type="dxa"/>
            <w:right w:w="108" w:type="dxa"/>
          </w:tblCellMar>
          <w:tblLook w:val="0000"/>
        </w:tblPrEx>
        <w:trPr>
          <w:trHeight w:val="340"/>
          <w:jc w:val="center"/>
        </w:trPr>
        <w:tc>
          <w:tcPr>
            <w:tcW w:w="2251" w:type="dxa"/>
            <w:vMerge/>
            <w:vAlign w:val="center"/>
          </w:tcPr>
          <w:p>
            <w:pPr>
              <w:keepNext w:val="0"/>
              <w:keepLines w:val="0"/>
              <w:pageBreakBefore w:val="0"/>
              <w:kinsoku/>
              <w:wordWrap/>
              <w:overflowPunct/>
              <w:topLinePunct w:val="0"/>
              <w:autoSpaceDE/>
              <w:autoSpaceDN/>
              <w:bidi w:val="0"/>
              <w:spacing w:line="240" w:lineRule="exact"/>
              <w:ind w:left="0" w:right="0" w:leftChars="0" w:rightChars="0"/>
              <w:textAlignment w:val="auto"/>
              <w:outlineLvl w:val="9"/>
              <w:rPr>
                <w:rFonts w:ascii="宋体" w:eastAsia="宋体" w:hAnsi="宋体" w:cs="宋体" w:hint="eastAsia"/>
                <w:color w:val="000000"/>
                <w:sz w:val="18"/>
                <w:szCs w:val="18"/>
              </w:rPr>
            </w:pPr>
          </w:p>
        </w:tc>
        <w:tc>
          <w:tcPr>
            <w:tcW w:w="2569" w:type="dxa"/>
            <w:vMerge/>
            <w:vAlign w:val="center"/>
          </w:tcPr>
          <w:p>
            <w:pPr>
              <w:keepNext w:val="0"/>
              <w:keepLines w:val="0"/>
              <w:pageBreakBefore w:val="0"/>
              <w:kinsoku/>
              <w:wordWrap/>
              <w:overflowPunct/>
              <w:topLinePunct w:val="0"/>
              <w:autoSpaceDE/>
              <w:autoSpaceDN/>
              <w:bidi w:val="0"/>
              <w:spacing w:line="240" w:lineRule="exact"/>
              <w:ind w:left="0" w:right="0" w:leftChars="0" w:rightChars="0"/>
              <w:textAlignment w:val="auto"/>
              <w:outlineLvl w:val="9"/>
              <w:rPr>
                <w:rFonts w:ascii="宋体" w:eastAsia="宋体" w:hAnsi="宋体" w:cs="宋体" w:hint="eastAsia"/>
                <w:color w:val="000000"/>
                <w:sz w:val="18"/>
                <w:szCs w:val="18"/>
              </w:rPr>
            </w:pPr>
          </w:p>
        </w:tc>
        <w:tc>
          <w:tcPr>
            <w:tcW w:w="2742" w:type="dxa"/>
            <w:vAlign w:val="center"/>
          </w:tcPr>
          <w:p>
            <w:pPr>
              <w:keepNext w:val="0"/>
              <w:keepLines w:val="0"/>
              <w:pageBreakBefore w:val="0"/>
              <w:widowControl/>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毕业</w:t>
            </w:r>
            <w:r>
              <w:rPr>
                <w:rFonts w:ascii="宋体" w:hAnsi="宋体" w:cs="宋体" w:hint="eastAsia"/>
                <w:color w:val="000000"/>
                <w:kern w:val="0"/>
                <w:sz w:val="18"/>
                <w:szCs w:val="18"/>
                <w:lang w:val="en-US" w:eastAsia="zh-CN"/>
              </w:rPr>
              <w:t>设计</w:t>
            </w:r>
            <w:r>
              <w:rPr>
                <w:rFonts w:ascii="宋体" w:eastAsia="宋体" w:hAnsi="宋体" w:cs="宋体" w:hint="eastAsia"/>
                <w:color w:val="000000"/>
                <w:kern w:val="0"/>
                <w:sz w:val="18"/>
                <w:szCs w:val="18"/>
              </w:rPr>
              <w:t>（</w:t>
            </w:r>
            <w:r>
              <w:rPr>
                <w:rFonts w:ascii="宋体" w:hAnsi="宋体" w:cs="宋体" w:hint="eastAsia"/>
                <w:color w:val="000000"/>
                <w:kern w:val="0"/>
                <w:sz w:val="18"/>
                <w:szCs w:val="18"/>
                <w:lang w:val="en-US" w:eastAsia="zh-CN"/>
              </w:rPr>
              <w:t>论文</w:t>
            </w:r>
            <w:r>
              <w:rPr>
                <w:rFonts w:ascii="宋体" w:eastAsia="宋体" w:hAnsi="宋体" w:cs="宋体" w:hint="eastAsia"/>
                <w:color w:val="000000"/>
                <w:kern w:val="0"/>
                <w:sz w:val="18"/>
                <w:szCs w:val="18"/>
              </w:rPr>
              <w:t>）</w:t>
            </w:r>
          </w:p>
        </w:tc>
        <w:tc>
          <w:tcPr>
            <w:tcW w:w="1335" w:type="dxa"/>
            <w:vAlign w:val="center"/>
          </w:tcPr>
          <w:p>
            <w:pPr>
              <w:keepNext w:val="0"/>
              <w:keepLines w:val="0"/>
              <w:pageBreakBefore w:val="0"/>
              <w:kinsoku/>
              <w:wordWrap/>
              <w:overflowPunct/>
              <w:topLinePunct w:val="0"/>
              <w:autoSpaceDE/>
              <w:autoSpaceDN/>
              <w:bidi w:val="0"/>
              <w:spacing w:line="240" w:lineRule="exact"/>
              <w:ind w:left="0" w:right="0" w:leftChars="0" w:rightChars="0"/>
              <w:jc w:val="center"/>
              <w:textAlignment w:val="auto"/>
              <w:outlineLvl w:val="9"/>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0.5</w:t>
            </w:r>
          </w:p>
        </w:tc>
      </w:tr>
    </w:tbl>
    <w:p>
      <w:pPr>
        <w:numPr>
          <w:ilvl w:val="0"/>
          <w:numId w:val="0"/>
        </w:numPr>
        <w:spacing w:line="360" w:lineRule="auto"/>
        <w:rPr>
          <w:rFonts w:ascii="宋体" w:hAnsi="宋体" w:cs="宋体" w:hint="eastAsia"/>
          <w:b/>
          <w:color w:val="000000"/>
          <w:sz w:val="28"/>
          <w:szCs w:val="28"/>
          <w:lang w:eastAsia="zh-CN"/>
        </w:rPr>
        <w:sectPr>
          <w:type w:val="nextPage"/>
          <w:pgSz w:w="11906" w:h="16838"/>
          <w:pgMar w:top="1417" w:right="1701" w:bottom="1417" w:left="1701" w:header="851" w:footer="992" w:gutter="0"/>
          <w:pgBorders>
            <w:top w:val="none" w:sz="0" w:space="0" w:color="auto"/>
            <w:left w:val="none" w:sz="0" w:space="0" w:color="auto"/>
            <w:bottom w:val="none" w:sz="0" w:space="0" w:color="auto"/>
            <w:right w:val="none" w:sz="0" w:space="0" w:color="auto"/>
          </w:pgBorders>
          <w:cols w:space="708"/>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eastAsia="宋体" w:cs="宋体" w:hint="eastAsia"/>
          <w:b/>
          <w:color w:val="000000"/>
          <w:sz w:val="28"/>
          <w:szCs w:val="28"/>
          <w:lang w:val="en-US" w:eastAsia="zh-CN"/>
        </w:rPr>
        <w:t>四</w:t>
      </w:r>
      <w:r>
        <w:rPr>
          <w:rFonts w:ascii="宋体" w:eastAsia="宋体" w:hAnsi="宋体" w:cs="宋体" w:hint="eastAsia"/>
          <w:b/>
          <w:color w:val="000000"/>
          <w:sz w:val="28"/>
          <w:szCs w:val="28"/>
        </w:rPr>
        <w:t>、专业核心课程</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leftChars="0" w:rightChars="0" w:firstLineChars="200"/>
        <w:jc w:val="both"/>
        <w:textAlignment w:val="auto"/>
        <w:outlineLvl w:val="9"/>
        <w:rPr>
          <w:rFonts w:ascii="宋体" w:eastAsia="宋体" w:hAnsi="宋体" w:cs="宋体" w:hint="eastAsia"/>
          <w:color w:val="000000"/>
          <w:sz w:val="24"/>
          <w:szCs w:val="24"/>
        </w:rPr>
      </w:pPr>
      <w:r>
        <w:rPr>
          <w:rFonts w:eastAsia="宋体" w:cs="宋体" w:hint="eastAsia"/>
          <w:color w:val="000000"/>
          <w:sz w:val="24"/>
          <w:szCs w:val="24"/>
          <w:lang w:eastAsia="zh-CN"/>
        </w:rPr>
        <w:t>表演、视唱练耳、台词、中国民族民间舞、</w:t>
      </w:r>
      <w:r>
        <w:rPr>
          <w:rFonts w:eastAsia="宋体" w:cs="宋体" w:hint="eastAsia"/>
          <w:color w:val="000000"/>
          <w:sz w:val="24"/>
          <w:szCs w:val="24"/>
          <w:lang w:val="en-US" w:eastAsia="zh-CN"/>
        </w:rPr>
        <w:t>戏剧影视文学（编剧）</w:t>
      </w:r>
      <w:r>
        <w:rPr>
          <w:rFonts w:ascii="宋体" w:eastAsia="宋体" w:hAnsi="宋体" w:cs="宋体" w:hint="eastAsia"/>
          <w:color w:val="000000"/>
          <w:sz w:val="24"/>
          <w:szCs w:val="24"/>
          <w:lang w:eastAsia="zh-CN"/>
        </w:rPr>
        <w:t>。</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eastAsia="宋体" w:cs="宋体" w:hint="eastAsia"/>
          <w:b/>
          <w:color w:val="000000"/>
          <w:sz w:val="28"/>
          <w:szCs w:val="28"/>
          <w:lang w:val="en-US" w:eastAsia="zh-CN"/>
        </w:rPr>
        <w:t>五</w:t>
      </w:r>
      <w:r>
        <w:rPr>
          <w:rFonts w:ascii="宋体" w:eastAsia="宋体" w:hAnsi="宋体" w:cs="宋体" w:hint="eastAsia"/>
          <w:b/>
          <w:color w:val="000000"/>
          <w:sz w:val="28"/>
          <w:szCs w:val="28"/>
        </w:rPr>
        <w:t>、主要实践性教学环节</w:t>
      </w:r>
    </w:p>
    <w:p>
      <w:pPr>
        <w:pStyle w:val="p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80" w:leftChars="0" w:rightChars="0" w:firstLineChars="200"/>
        <w:jc w:val="both"/>
        <w:textAlignment w:val="auto"/>
        <w:outlineLvl w:val="9"/>
        <w:rPr>
          <w:rFonts w:ascii="宋体" w:eastAsia="宋体" w:hAnsi="宋体" w:cs="宋体" w:hint="eastAsia"/>
          <w:bCs/>
          <w:color w:val="000000"/>
          <w:sz w:val="24"/>
          <w:szCs w:val="24"/>
          <w:lang w:eastAsia="zh-CN"/>
        </w:rPr>
      </w:pPr>
      <w:r>
        <w:rPr>
          <w:rFonts w:eastAsia="宋体" w:cs="宋体" w:hint="eastAsia"/>
          <w:bCs/>
          <w:color w:val="000000"/>
          <w:sz w:val="24"/>
          <w:szCs w:val="24"/>
          <w:lang w:eastAsia="zh-CN"/>
        </w:rPr>
        <w:t>声乐综合实训</w:t>
      </w:r>
      <w:r>
        <w:rPr>
          <w:rFonts w:ascii="宋体" w:eastAsia="宋体" w:hAnsi="宋体" w:cs="宋体" w:hint="eastAsia"/>
          <w:bCs/>
          <w:color w:val="000000"/>
          <w:sz w:val="24"/>
          <w:szCs w:val="24"/>
          <w:lang w:eastAsia="zh-CN"/>
        </w:rPr>
        <w:t>、</w:t>
      </w:r>
      <w:r>
        <w:rPr>
          <w:rFonts w:eastAsia="宋体" w:cs="宋体" w:hint="eastAsia"/>
          <w:bCs/>
          <w:color w:val="000000"/>
          <w:sz w:val="24"/>
          <w:szCs w:val="24"/>
          <w:lang w:eastAsia="zh-CN"/>
        </w:rPr>
        <w:t>形体综合实训、台词综合实训、表演综合实训、专业实习</w:t>
      </w:r>
      <w:r>
        <w:rPr>
          <w:rFonts w:ascii="宋体" w:eastAsia="宋体" w:hAnsi="宋体" w:cs="宋体" w:hint="eastAsia"/>
          <w:bCs/>
          <w:color w:val="000000"/>
          <w:sz w:val="24"/>
          <w:szCs w:val="24"/>
          <w:lang w:eastAsia="zh-CN"/>
        </w:rPr>
        <w:t>、毕业实习、毕业</w:t>
      </w:r>
      <w:r>
        <w:rPr>
          <w:rFonts w:ascii="宋体" w:eastAsia="宋体" w:hAnsi="宋体" w:cs="宋体" w:hint="eastAsia"/>
          <w:bCs/>
          <w:color w:val="000000"/>
          <w:sz w:val="24"/>
          <w:szCs w:val="24"/>
          <w:lang w:val="en-US" w:eastAsia="zh-CN"/>
        </w:rPr>
        <w:t>设计</w:t>
      </w:r>
      <w:r>
        <w:rPr>
          <w:rFonts w:ascii="宋体" w:eastAsia="宋体" w:hAnsi="宋体" w:cs="宋体" w:hint="eastAsia"/>
          <w:bCs/>
          <w:color w:val="000000"/>
          <w:sz w:val="24"/>
          <w:szCs w:val="24"/>
          <w:lang w:eastAsia="zh-CN"/>
        </w:rPr>
        <w:t>（</w:t>
      </w:r>
      <w:r>
        <w:rPr>
          <w:rFonts w:ascii="宋体" w:eastAsia="宋体" w:hAnsi="宋体" w:cs="宋体" w:hint="eastAsia"/>
          <w:bCs/>
          <w:color w:val="000000"/>
          <w:sz w:val="24"/>
          <w:szCs w:val="24"/>
          <w:lang w:val="en-US" w:eastAsia="zh-CN"/>
        </w:rPr>
        <w:t>论文</w:t>
      </w:r>
      <w:r>
        <w:rPr>
          <w:rFonts w:ascii="宋体" w:eastAsia="宋体" w:hAnsi="宋体" w:cs="宋体" w:hint="eastAsia"/>
          <w:bCs/>
          <w:color w:val="000000"/>
          <w:sz w:val="24"/>
          <w:szCs w:val="24"/>
          <w:lang w:eastAsia="zh-CN"/>
        </w:rPr>
        <w:t>）。</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eastAsia="宋体" w:cs="宋体" w:hint="eastAsia"/>
          <w:b/>
          <w:color w:val="000000"/>
          <w:sz w:val="28"/>
          <w:szCs w:val="28"/>
          <w:lang w:val="en-US" w:eastAsia="zh-CN"/>
        </w:rPr>
        <w:t>六</w:t>
      </w:r>
      <w:r>
        <w:rPr>
          <w:rFonts w:ascii="宋体" w:eastAsia="宋体" w:hAnsi="宋体" w:cs="宋体" w:hint="eastAsia"/>
          <w:b/>
          <w:color w:val="000000"/>
          <w:sz w:val="28"/>
          <w:szCs w:val="28"/>
        </w:rPr>
        <w:t>、</w:t>
      </w:r>
      <w:bookmarkStart w:id="0" w:name="OLE_LINK3"/>
      <w:r>
        <w:rPr>
          <w:rFonts w:ascii="宋体" w:eastAsia="宋体" w:hAnsi="宋体" w:cs="宋体" w:hint="eastAsia"/>
          <w:b/>
          <w:color w:val="000000"/>
          <w:sz w:val="28"/>
          <w:szCs w:val="28"/>
        </w:rPr>
        <w:t>修业年限、毕业学分要求与授予学位</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ascii="宋体" w:eastAsia="宋体" w:hAnsi="宋体" w:cs="宋体" w:hint="eastAsia"/>
          <w:b/>
          <w:color w:val="000000"/>
          <w:sz w:val="28"/>
          <w:szCs w:val="28"/>
        </w:rPr>
        <w:t>（一）修业年限</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80" w:leftChars="0" w:rightChars="0" w:firstLineChars="200"/>
        <w:jc w:val="both"/>
        <w:textAlignment w:val="auto"/>
        <w:outlineLvl w:val="9"/>
        <w:rPr>
          <w:rFonts w:ascii="宋体" w:eastAsia="宋体" w:hAnsi="宋体" w:cs="宋体" w:hint="eastAsia"/>
          <w:b/>
          <w:color w:val="000000"/>
        </w:rPr>
      </w:pPr>
      <w:r>
        <w:rPr>
          <w:rFonts w:ascii="宋体" w:eastAsia="宋体" w:hAnsi="宋体" w:cs="宋体" w:hint="eastAsia"/>
          <w:color w:val="000000"/>
        </w:rPr>
        <w:t>四年，弹性学习年限3-8年。</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ascii="宋体" w:eastAsia="宋体" w:hAnsi="宋体" w:cs="宋体" w:hint="eastAsia"/>
          <w:b/>
          <w:color w:val="000000"/>
          <w:sz w:val="28"/>
          <w:szCs w:val="28"/>
        </w:rPr>
        <w:t>（二）毕业学分要求</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ascii="宋体" w:hAnsi="宋体" w:hint="eastAsia"/>
          <w:color w:val="auto"/>
          <w:sz w:val="24"/>
          <w:szCs w:val="24"/>
          <w:highlight w:val="none"/>
        </w:rPr>
      </w:pPr>
      <w:r>
        <w:rPr>
          <w:rFonts w:ascii="宋体" w:hAnsi="宋体" w:hint="eastAsia"/>
          <w:color w:val="auto"/>
          <w:sz w:val="24"/>
          <w:szCs w:val="24"/>
          <w:highlight w:val="none"/>
        </w:rPr>
        <w:t>学生必须修满培养方案规定的</w:t>
      </w:r>
      <w:r>
        <w:rPr>
          <w:rFonts w:ascii="宋体" w:hAnsi="宋体" w:hint="eastAsia"/>
          <w:color w:val="auto"/>
          <w:sz w:val="24"/>
          <w:szCs w:val="24"/>
          <w:highlight w:val="none"/>
          <w:lang w:val="en-US" w:eastAsia="zh-CN"/>
        </w:rPr>
        <w:t>17</w:t>
      </w:r>
      <w:r>
        <w:rPr>
          <w:rFonts w:hint="eastAsia"/>
          <w:color w:val="auto"/>
          <w:sz w:val="24"/>
          <w:szCs w:val="24"/>
          <w:highlight w:val="none"/>
          <w:lang w:val="en-US" w:eastAsia="zh-CN"/>
        </w:rPr>
        <w:t>1</w:t>
      </w:r>
      <w:r>
        <w:rPr>
          <w:rFonts w:ascii="宋体" w:hAnsi="宋体" w:hint="eastAsia"/>
          <w:color w:val="auto"/>
          <w:sz w:val="24"/>
          <w:szCs w:val="24"/>
          <w:highlight w:val="none"/>
        </w:rPr>
        <w:t>学分，其中必修课程</w:t>
      </w:r>
      <w:r>
        <w:rPr>
          <w:rFonts w:hint="eastAsia"/>
          <w:color w:val="auto"/>
          <w:sz w:val="24"/>
          <w:szCs w:val="24"/>
          <w:highlight w:val="none"/>
          <w:lang w:val="en-US" w:eastAsia="zh-CN"/>
        </w:rPr>
        <w:t>158</w:t>
      </w:r>
      <w:r>
        <w:rPr>
          <w:rFonts w:ascii="宋体" w:hAnsi="宋体" w:hint="eastAsia"/>
          <w:color w:val="auto"/>
          <w:sz w:val="24"/>
          <w:szCs w:val="24"/>
          <w:highlight w:val="none"/>
        </w:rPr>
        <w:t>学分（含素质拓展</w:t>
      </w:r>
      <w:r>
        <w:rPr>
          <w:rFonts w:ascii="宋体" w:hAnsi="宋体" w:hint="eastAsia"/>
          <w:color w:val="auto"/>
          <w:sz w:val="24"/>
          <w:szCs w:val="24"/>
          <w:highlight w:val="none"/>
          <w:lang w:val="en-US" w:eastAsia="zh-CN"/>
        </w:rPr>
        <w:t>5</w:t>
      </w:r>
      <w:r>
        <w:rPr>
          <w:rFonts w:ascii="宋体" w:hAnsi="宋体" w:hint="eastAsia"/>
          <w:color w:val="auto"/>
          <w:sz w:val="24"/>
          <w:szCs w:val="24"/>
          <w:highlight w:val="none"/>
        </w:rPr>
        <w:t>学分），选修课程</w:t>
      </w:r>
      <w:r>
        <w:rPr>
          <w:rFonts w:hint="eastAsia"/>
          <w:color w:val="auto"/>
          <w:sz w:val="24"/>
          <w:szCs w:val="24"/>
          <w:highlight w:val="none"/>
          <w:lang w:val="en-US" w:eastAsia="zh-CN"/>
        </w:rPr>
        <w:t>13</w:t>
      </w:r>
      <w:r>
        <w:rPr>
          <w:rFonts w:ascii="宋体" w:hAnsi="宋体" w:hint="eastAsia"/>
          <w:color w:val="auto"/>
          <w:sz w:val="24"/>
          <w:szCs w:val="24"/>
          <w:highlight w:val="none"/>
        </w:rPr>
        <w:t>学分。</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eastAsia="宋体" w:hAnsi="宋体" w:cs="宋体" w:hint="eastAsia"/>
          <w:b/>
          <w:color w:val="000000"/>
          <w:sz w:val="28"/>
          <w:szCs w:val="28"/>
        </w:rPr>
      </w:pPr>
      <w:r>
        <w:rPr>
          <w:rFonts w:ascii="宋体" w:eastAsia="宋体" w:hAnsi="宋体" w:cs="宋体" w:hint="eastAsia"/>
          <w:b/>
          <w:color w:val="000000"/>
          <w:sz w:val="28"/>
          <w:szCs w:val="28"/>
        </w:rPr>
        <w:t>（三）授予学位</w:t>
      </w:r>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80" w:leftChars="0" w:rightChars="0" w:firstLineChars="200"/>
        <w:jc w:val="both"/>
        <w:textAlignment w:val="auto"/>
        <w:outlineLvl w:val="9"/>
        <w:rPr>
          <w:rFonts w:cs="宋体" w:hint="eastAsia"/>
          <w:b/>
          <w:color w:val="000000"/>
          <w:sz w:val="28"/>
          <w:szCs w:val="28"/>
          <w:lang w:eastAsia="zh-CN"/>
        </w:rPr>
      </w:pPr>
      <w:r>
        <w:rPr>
          <w:rFonts w:ascii="宋体" w:eastAsia="宋体" w:hAnsi="宋体" w:cs="宋体" w:hint="eastAsia"/>
          <w:color w:val="000000"/>
          <w:szCs w:val="28"/>
        </w:rPr>
        <w:t>达到学士学位授予条件的，授予</w:t>
      </w:r>
      <w:r>
        <w:rPr>
          <w:rFonts w:ascii="宋体" w:eastAsia="宋体" w:hAnsi="宋体" w:cs="宋体" w:hint="eastAsia"/>
          <w:color w:val="000000"/>
          <w:szCs w:val="28"/>
          <w:lang w:eastAsia="zh-CN"/>
        </w:rPr>
        <w:t>艺术学</w:t>
      </w:r>
      <w:r>
        <w:rPr>
          <w:rFonts w:ascii="宋体" w:eastAsia="宋体" w:hAnsi="宋体" w:cs="宋体" w:hint="eastAsia"/>
          <w:color w:val="000000"/>
          <w:szCs w:val="28"/>
        </w:rPr>
        <w:t>学士学位。</w:t>
      </w:r>
      <w:bookmarkEnd w:id="0"/>
    </w:p>
    <w:p>
      <w:pPr>
        <w:pStyle w:val="p0"/>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560" w:leftChars="0" w:rightChars="0" w:firstLineChars="200"/>
        <w:jc w:val="both"/>
        <w:textAlignment w:val="auto"/>
        <w:outlineLvl w:val="9"/>
        <w:rPr>
          <w:rFonts w:ascii="宋体" w:hAnsi="宋体" w:cs="宋体"/>
          <w:color w:val="auto"/>
          <w:sz w:val="28"/>
          <w:szCs w:val="28"/>
        </w:rPr>
      </w:pPr>
      <w:r>
        <w:rPr>
          <w:rFonts w:cs="宋体" w:hint="eastAsia"/>
          <w:b/>
          <w:color w:val="auto"/>
          <w:sz w:val="28"/>
          <w:szCs w:val="28"/>
          <w:lang w:eastAsia="zh-CN"/>
        </w:rPr>
        <w:t>八</w:t>
      </w:r>
      <w:r>
        <w:rPr>
          <w:rFonts w:ascii="宋体" w:hAnsi="宋体" w:cs="宋体" w:hint="eastAsia"/>
          <w:b/>
          <w:color w:val="auto"/>
          <w:sz w:val="28"/>
          <w:szCs w:val="28"/>
        </w:rPr>
        <w:t>、教学计划</w:t>
      </w:r>
    </w:p>
    <w:p>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cs="黑体" w:hint="eastAsia"/>
          <w:b/>
          <w:bCs/>
          <w:color w:val="auto"/>
          <w:sz w:val="28"/>
          <w:szCs w:val="28"/>
        </w:rPr>
      </w:pPr>
      <w:r>
        <w:rPr>
          <w:rFonts w:ascii="宋体" w:hAnsi="宋体" w:cs="黑体" w:hint="eastAsia"/>
          <w:b/>
          <w:bCs/>
          <w:color w:val="auto"/>
          <w:sz w:val="28"/>
          <w:szCs w:val="28"/>
        </w:rPr>
        <w:t xml:space="preserve">  </w:t>
      </w:r>
      <w:r>
        <w:rPr>
          <w:rFonts w:ascii="宋体" w:hAnsi="宋体" w:cs="黑体" w:hint="eastAsia"/>
          <w:b/>
          <w:bCs/>
          <w:color w:val="auto"/>
          <w:sz w:val="28"/>
          <w:szCs w:val="28"/>
          <w:lang w:val="en-US" w:eastAsia="zh-CN"/>
        </w:rPr>
        <w:t xml:space="preserve"> </w:t>
      </w:r>
      <w:r>
        <w:rPr>
          <w:rFonts w:ascii="宋体" w:hAnsi="宋体" w:cs="黑体" w:hint="eastAsia"/>
          <w:b/>
          <w:bCs/>
          <w:color w:val="auto"/>
          <w:sz w:val="28"/>
          <w:szCs w:val="28"/>
        </w:rPr>
        <w:t>（一）教学学时和学分分配表</w:t>
      </w:r>
    </w:p>
    <w:tbl>
      <w:tblPr>
        <w:tblStyle w:val="TableNormal"/>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334"/>
        <w:gridCol w:w="750"/>
        <w:gridCol w:w="729"/>
        <w:gridCol w:w="762"/>
        <w:gridCol w:w="888"/>
        <w:gridCol w:w="950"/>
        <w:gridCol w:w="812"/>
        <w:gridCol w:w="800"/>
        <w:gridCol w:w="838"/>
        <w:gridCol w:w="912"/>
        <w:gridCol w:w="883"/>
      </w:tblGrid>
      <w:tr>
        <w:tblPrEx>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567"/>
          <w:jc w:val="center"/>
        </w:trPr>
        <w:tc>
          <w:tcPr>
            <w:tcW w:w="1334" w:type="dxa"/>
            <w:vMerge w:val="restart"/>
            <w:tcBorders>
              <w:top w:val="single" w:sz="4" w:space="0" w:color="auto"/>
              <w:left w:val="single" w:sz="4" w:space="0" w:color="auto"/>
              <w:right w:val="single" w:sz="4" w:space="0" w:color="auto"/>
            </w:tcBorders>
            <w:vAlign w:val="center"/>
          </w:tcPr>
          <w:p>
            <w:pPr>
              <w:widowControl/>
              <w:jc w:val="center"/>
              <w:rPr>
                <w:rFonts w:ascii="宋体" w:hAnsi="宋体" w:cs="宋体"/>
                <w:b/>
                <w:color w:val="auto"/>
                <w:sz w:val="18"/>
                <w:szCs w:val="18"/>
              </w:rPr>
            </w:pPr>
            <w:r>
              <w:rPr>
                <w:rFonts w:ascii="宋体" w:hAnsi="宋体" w:cs="宋体" w:hint="eastAsia"/>
                <w:b/>
                <w:color w:val="auto"/>
                <w:sz w:val="18"/>
                <w:szCs w:val="18"/>
              </w:rPr>
              <w:t>平台类别</w:t>
            </w:r>
          </w:p>
        </w:tc>
        <w:tc>
          <w:tcPr>
            <w:tcW w:w="4079" w:type="dxa"/>
            <w:gridSpan w:val="5"/>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学时/学时比例</w:t>
            </w:r>
          </w:p>
        </w:tc>
        <w:tc>
          <w:tcPr>
            <w:tcW w:w="4245" w:type="dxa"/>
            <w:gridSpan w:val="5"/>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hint="eastAsia"/>
                <w:b/>
                <w:bCs/>
                <w:color w:val="auto"/>
                <w:sz w:val="18"/>
                <w:szCs w:val="18"/>
              </w:rPr>
            </w:pPr>
            <w:r>
              <w:rPr>
                <w:rFonts w:ascii="宋体" w:hAnsi="宋体" w:cs="宋体" w:hint="eastAsia"/>
                <w:b/>
                <w:bCs/>
                <w:color w:val="auto"/>
                <w:sz w:val="18"/>
                <w:szCs w:val="18"/>
              </w:rPr>
              <w:t>学分/学分比例</w:t>
            </w:r>
          </w:p>
        </w:tc>
      </w:tr>
      <w:tr>
        <w:tblPrEx>
          <w:tblW w:w="9658" w:type="dxa"/>
          <w:jc w:val="center"/>
          <w:tblLayout w:type="fixed"/>
          <w:tblCellMar>
            <w:top w:w="0" w:type="dxa"/>
            <w:left w:w="108" w:type="dxa"/>
            <w:bottom w:w="0" w:type="dxa"/>
            <w:right w:w="108" w:type="dxa"/>
          </w:tblCellMar>
          <w:tblLook w:val="0000"/>
        </w:tblPrEx>
        <w:trPr>
          <w:trHeight w:val="973"/>
          <w:jc w:val="center"/>
        </w:trPr>
        <w:tc>
          <w:tcPr>
            <w:tcW w:w="1334" w:type="dxa"/>
            <w:vMerge/>
            <w:tcBorders>
              <w:left w:val="single" w:sz="4" w:space="0" w:color="auto"/>
              <w:bottom w:val="single" w:sz="4" w:space="0" w:color="auto"/>
              <w:right w:val="single" w:sz="4" w:space="0" w:color="auto"/>
            </w:tcBorders>
            <w:vAlign w:val="center"/>
          </w:tcPr>
          <w:p>
            <w:pPr>
              <w:widowControl/>
              <w:jc w:val="center"/>
              <w:rPr>
                <w:rFonts w:ascii="宋体" w:hAnsi="宋体" w:cs="宋体"/>
                <w:b/>
                <w:color w:val="auto"/>
                <w:sz w:val="18"/>
                <w:szCs w:val="18"/>
              </w:rPr>
            </w:pP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理论</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学时</w:t>
            </w: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实践</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学时</w:t>
            </w: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选修</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学时</w:t>
            </w: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各平台</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总学时</w:t>
            </w:r>
          </w:p>
        </w:tc>
        <w:tc>
          <w:tcPr>
            <w:tcW w:w="9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总学时</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比例</w:t>
            </w: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理论</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学分</w:t>
            </w: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实践</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学分</w:t>
            </w:r>
          </w:p>
        </w:tc>
        <w:tc>
          <w:tcPr>
            <w:tcW w:w="838" w:type="dxa"/>
            <w:tcBorders>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选修</w:t>
            </w:r>
          </w:p>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学分</w:t>
            </w: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各平台总学分</w:t>
            </w:r>
          </w:p>
        </w:tc>
        <w:tc>
          <w:tcPr>
            <w:tcW w:w="883"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bCs/>
                <w:color w:val="auto"/>
                <w:sz w:val="18"/>
                <w:szCs w:val="18"/>
              </w:rPr>
            </w:pPr>
            <w:r>
              <w:rPr>
                <w:rFonts w:ascii="宋体" w:hAnsi="宋体" w:cs="宋体" w:hint="eastAsia"/>
                <w:b/>
                <w:bCs/>
                <w:color w:val="auto"/>
                <w:sz w:val="18"/>
                <w:szCs w:val="18"/>
              </w:rPr>
              <w:t>总学分</w:t>
            </w:r>
          </w:p>
          <w:p>
            <w:pPr>
              <w:adjustRightInd w:val="0"/>
              <w:snapToGrid w:val="0"/>
              <w:jc w:val="center"/>
              <w:rPr>
                <w:rFonts w:ascii="宋体" w:eastAsia="宋体" w:hAnsi="宋体" w:cs="宋体" w:hint="eastAsia"/>
                <w:b/>
                <w:bCs/>
                <w:color w:val="auto"/>
                <w:sz w:val="18"/>
                <w:szCs w:val="18"/>
                <w:lang w:eastAsia="zh-CN"/>
              </w:rPr>
            </w:pPr>
            <w:r>
              <w:rPr>
                <w:rFonts w:ascii="宋体" w:hAnsi="宋体" w:cs="宋体" w:hint="eastAsia"/>
                <w:b/>
                <w:bCs/>
                <w:color w:val="auto"/>
                <w:sz w:val="18"/>
                <w:szCs w:val="18"/>
              </w:rPr>
              <w:t>比例</w:t>
            </w:r>
          </w:p>
        </w:tc>
      </w:tr>
      <w:tr>
        <w:tblPrEx>
          <w:tblW w:w="9658" w:type="dxa"/>
          <w:jc w:val="center"/>
          <w:tblLayout w:type="fixed"/>
          <w:tblCellMar>
            <w:top w:w="0" w:type="dxa"/>
            <w:left w:w="108" w:type="dxa"/>
            <w:bottom w:w="0" w:type="dxa"/>
            <w:right w:w="108" w:type="dxa"/>
          </w:tblCellMar>
          <w:tblLook w:val="0000"/>
        </w:tblPrEx>
        <w:trPr>
          <w:trHeight w:val="555"/>
          <w:jc w:val="center"/>
        </w:trPr>
        <w:tc>
          <w:tcPr>
            <w:tcW w:w="1334"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color w:val="auto"/>
                <w:sz w:val="18"/>
                <w:szCs w:val="18"/>
              </w:rPr>
            </w:pPr>
            <w:r>
              <w:rPr>
                <w:rFonts w:ascii="宋体" w:hAnsi="宋体" w:cs="宋体" w:hint="eastAsia"/>
                <w:b/>
                <w:color w:val="auto"/>
                <w:sz w:val="18"/>
                <w:szCs w:val="18"/>
              </w:rPr>
              <w:t>公共平台课</w:t>
            </w: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612</w:t>
            </w: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208</w:t>
            </w: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820</w:t>
            </w:r>
          </w:p>
        </w:tc>
        <w:tc>
          <w:tcPr>
            <w:tcW w:w="950" w:type="dxa"/>
            <w:tcBorders>
              <w:top w:val="single" w:sz="4" w:space="0" w:color="auto"/>
              <w:left w:val="single" w:sz="4" w:space="0" w:color="auto"/>
              <w:bottom w:val="single" w:sz="4" w:space="0" w:color="auto"/>
              <w:right w:val="single" w:sz="4" w:space="0" w:color="auto"/>
            </w:tcBorders>
            <w:vAlign w:val="center"/>
          </w:tcPr>
          <w:p>
            <w:pPr>
              <w:widowControl/>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37.1%</w:t>
            </w: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38</w:t>
            </w: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9</w:t>
            </w:r>
          </w:p>
        </w:tc>
        <w:tc>
          <w:tcPr>
            <w:tcW w:w="83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r>
              <w:rPr>
                <w:rFonts w:ascii="宋体" w:hAnsi="宋体" w:cs="宋体" w:hint="eastAsia"/>
                <w:b w:val="0"/>
                <w:bCs w:val="0"/>
                <w:color w:val="auto"/>
                <w:sz w:val="18"/>
                <w:szCs w:val="18"/>
                <w:lang w:val="en-US" w:eastAsia="zh-CN"/>
              </w:rPr>
              <w:t>8</w:t>
            </w: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47</w:t>
            </w:r>
          </w:p>
        </w:tc>
        <w:tc>
          <w:tcPr>
            <w:tcW w:w="883"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hint="default"/>
                <w:color w:val="auto"/>
                <w:sz w:val="18"/>
                <w:szCs w:val="18"/>
                <w:lang w:val="en-US" w:eastAsia="zh-CN"/>
              </w:rPr>
            </w:pPr>
            <w:r>
              <w:rPr>
                <w:rFonts w:cs="宋体" w:hint="eastAsia"/>
                <w:color w:val="auto"/>
                <w:sz w:val="18"/>
                <w:szCs w:val="18"/>
                <w:lang w:val="en-US" w:eastAsia="zh-CN"/>
              </w:rPr>
              <w:t>27.5</w:t>
            </w:r>
            <w:r>
              <w:rPr>
                <w:rFonts w:ascii="宋体" w:hAnsi="宋体" w:cs="宋体" w:hint="eastAsia"/>
                <w:color w:val="auto"/>
                <w:sz w:val="18"/>
                <w:szCs w:val="18"/>
                <w:lang w:val="en-US" w:eastAsia="zh-CN"/>
              </w:rPr>
              <w:t>%</w:t>
            </w:r>
          </w:p>
        </w:tc>
      </w:tr>
      <w:tr>
        <w:tblPrEx>
          <w:tblW w:w="9658" w:type="dxa"/>
          <w:jc w:val="center"/>
          <w:tblLayout w:type="fixed"/>
          <w:tblCellMar>
            <w:top w:w="0" w:type="dxa"/>
            <w:left w:w="108" w:type="dxa"/>
            <w:bottom w:w="0" w:type="dxa"/>
            <w:right w:w="108" w:type="dxa"/>
          </w:tblCellMar>
          <w:tblLook w:val="0000"/>
        </w:tblPrEx>
        <w:trPr>
          <w:trHeight w:val="555"/>
          <w:jc w:val="center"/>
        </w:trPr>
        <w:tc>
          <w:tcPr>
            <w:tcW w:w="1334"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color w:val="auto"/>
                <w:sz w:val="18"/>
                <w:szCs w:val="18"/>
              </w:rPr>
            </w:pPr>
            <w:r>
              <w:rPr>
                <w:rFonts w:ascii="宋体" w:hAnsi="宋体" w:cs="宋体" w:hint="eastAsia"/>
                <w:b/>
                <w:color w:val="auto"/>
                <w:sz w:val="18"/>
                <w:szCs w:val="18"/>
              </w:rPr>
              <w:t>学科平台课</w:t>
            </w: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2</w:t>
            </w:r>
            <w:r>
              <w:rPr>
                <w:rFonts w:eastAsia="宋体" w:cs="宋体" w:hint="eastAsia"/>
                <w:b w:val="0"/>
                <w:bCs w:val="0"/>
                <w:color w:val="auto"/>
                <w:sz w:val="18"/>
                <w:szCs w:val="18"/>
                <w:lang w:val="en-US" w:eastAsia="zh-CN"/>
              </w:rPr>
              <w:t>56</w:t>
            </w: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2</w:t>
            </w:r>
            <w:r>
              <w:rPr>
                <w:rFonts w:cs="宋体" w:hint="eastAsia"/>
                <w:b w:val="0"/>
                <w:bCs w:val="0"/>
                <w:color w:val="auto"/>
                <w:sz w:val="18"/>
                <w:szCs w:val="18"/>
                <w:lang w:val="en-US" w:eastAsia="zh-CN"/>
              </w:rPr>
              <w:t>56</w:t>
            </w:r>
          </w:p>
        </w:tc>
        <w:tc>
          <w:tcPr>
            <w:tcW w:w="9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r>
              <w:rPr>
                <w:rFonts w:cs="宋体" w:hint="eastAsia"/>
                <w:b w:val="0"/>
                <w:bCs w:val="0"/>
                <w:color w:val="auto"/>
                <w:sz w:val="18"/>
                <w:szCs w:val="18"/>
                <w:lang w:val="en-US" w:eastAsia="zh-CN"/>
              </w:rPr>
              <w:t>11.6</w:t>
            </w:r>
            <w:r>
              <w:rPr>
                <w:rFonts w:ascii="宋体" w:hAnsi="宋体" w:cs="宋体" w:hint="eastAsia"/>
                <w:b w:val="0"/>
                <w:bCs w:val="0"/>
                <w:color w:val="auto"/>
                <w:sz w:val="18"/>
                <w:szCs w:val="18"/>
                <w:lang w:val="en-US" w:eastAsia="zh-CN"/>
              </w:rPr>
              <w:t>%</w:t>
            </w: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16</w:t>
            </w: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83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cs="宋体" w:hint="eastAsia"/>
                <w:b w:val="0"/>
                <w:bCs w:val="0"/>
                <w:color w:val="auto"/>
                <w:sz w:val="18"/>
                <w:szCs w:val="18"/>
                <w:lang w:val="en-US" w:eastAsia="zh-CN"/>
              </w:rPr>
              <w:t>16</w:t>
            </w:r>
          </w:p>
        </w:tc>
        <w:tc>
          <w:tcPr>
            <w:tcW w:w="883"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hint="eastAsia"/>
                <w:b w:val="0"/>
                <w:bCs w:val="0"/>
                <w:color w:val="auto"/>
                <w:sz w:val="18"/>
                <w:szCs w:val="18"/>
                <w:lang w:val="en-US" w:eastAsia="zh-CN"/>
              </w:rPr>
            </w:pPr>
            <w:r>
              <w:rPr>
                <w:rFonts w:cs="宋体" w:hint="eastAsia"/>
                <w:b w:val="0"/>
                <w:bCs w:val="0"/>
                <w:color w:val="auto"/>
                <w:sz w:val="18"/>
                <w:szCs w:val="18"/>
                <w:lang w:val="en-US" w:eastAsia="zh-CN"/>
              </w:rPr>
              <w:t>9.4</w:t>
            </w:r>
            <w:r>
              <w:rPr>
                <w:rFonts w:ascii="宋体" w:hAnsi="宋体" w:cs="宋体" w:hint="eastAsia"/>
                <w:b w:val="0"/>
                <w:bCs w:val="0"/>
                <w:color w:val="auto"/>
                <w:sz w:val="18"/>
                <w:szCs w:val="18"/>
                <w:lang w:val="en-US" w:eastAsia="zh-CN"/>
              </w:rPr>
              <w:t>%</w:t>
            </w:r>
          </w:p>
        </w:tc>
      </w:tr>
      <w:tr>
        <w:tblPrEx>
          <w:tblW w:w="9658" w:type="dxa"/>
          <w:jc w:val="center"/>
          <w:tblLayout w:type="fixed"/>
          <w:tblCellMar>
            <w:top w:w="0" w:type="dxa"/>
            <w:left w:w="108" w:type="dxa"/>
            <w:bottom w:w="0" w:type="dxa"/>
            <w:right w:w="108" w:type="dxa"/>
          </w:tblCellMar>
          <w:tblLook w:val="0000"/>
        </w:tblPrEx>
        <w:trPr>
          <w:trHeight w:val="555"/>
          <w:jc w:val="center"/>
        </w:trPr>
        <w:tc>
          <w:tcPr>
            <w:tcW w:w="1334"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color w:val="auto"/>
                <w:sz w:val="18"/>
                <w:szCs w:val="18"/>
              </w:rPr>
            </w:pPr>
            <w:r>
              <w:rPr>
                <w:rFonts w:ascii="宋体" w:hAnsi="宋体" w:cs="宋体" w:hint="eastAsia"/>
                <w:b/>
                <w:color w:val="auto"/>
                <w:sz w:val="18"/>
                <w:szCs w:val="18"/>
              </w:rPr>
              <w:t>专业平台课</w:t>
            </w: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496</w:t>
            </w: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640</w:t>
            </w: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80</w:t>
            </w: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1136</w:t>
            </w:r>
          </w:p>
        </w:tc>
        <w:tc>
          <w:tcPr>
            <w:tcW w:w="9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val="0"/>
                <w:bCs w:val="0"/>
                <w:color w:val="auto"/>
                <w:sz w:val="18"/>
                <w:szCs w:val="18"/>
              </w:rPr>
            </w:pPr>
            <w:r>
              <w:rPr>
                <w:rFonts w:cs="宋体" w:hint="eastAsia"/>
                <w:b w:val="0"/>
                <w:bCs w:val="0"/>
                <w:color w:val="auto"/>
                <w:sz w:val="18"/>
                <w:szCs w:val="18"/>
                <w:lang w:val="en-US" w:eastAsia="zh-CN"/>
              </w:rPr>
              <w:t>51.3</w:t>
            </w:r>
            <w:r>
              <w:rPr>
                <w:rFonts w:ascii="宋体" w:hAnsi="宋体" w:cs="宋体" w:hint="eastAsia"/>
                <w:b w:val="0"/>
                <w:bCs w:val="0"/>
                <w:color w:val="auto"/>
                <w:sz w:val="18"/>
                <w:szCs w:val="18"/>
                <w:lang w:val="en-US" w:eastAsia="zh-CN"/>
              </w:rPr>
              <w:t>%</w:t>
            </w: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31</w:t>
            </w: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40</w:t>
            </w:r>
          </w:p>
        </w:tc>
        <w:tc>
          <w:tcPr>
            <w:tcW w:w="83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5</w:t>
            </w: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71</w:t>
            </w:r>
          </w:p>
        </w:tc>
        <w:tc>
          <w:tcPr>
            <w:tcW w:w="883"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hint="eastAsia"/>
                <w:b w:val="0"/>
                <w:bCs w:val="0"/>
                <w:color w:val="auto"/>
                <w:sz w:val="18"/>
                <w:szCs w:val="18"/>
                <w:lang w:val="en-US" w:eastAsia="zh-CN"/>
              </w:rPr>
            </w:pPr>
            <w:r>
              <w:rPr>
                <w:rFonts w:cs="宋体" w:hint="eastAsia"/>
                <w:b w:val="0"/>
                <w:bCs w:val="0"/>
                <w:color w:val="auto"/>
                <w:sz w:val="18"/>
                <w:szCs w:val="18"/>
                <w:lang w:val="en-US" w:eastAsia="zh-CN"/>
              </w:rPr>
              <w:t>41.5</w:t>
            </w:r>
            <w:r>
              <w:rPr>
                <w:rFonts w:ascii="宋体" w:hAnsi="宋体" w:cs="宋体" w:hint="eastAsia"/>
                <w:b w:val="0"/>
                <w:bCs w:val="0"/>
                <w:color w:val="auto"/>
                <w:sz w:val="18"/>
                <w:szCs w:val="18"/>
                <w:lang w:val="en-US" w:eastAsia="zh-CN"/>
              </w:rPr>
              <w:t>%</w:t>
            </w:r>
          </w:p>
        </w:tc>
      </w:tr>
      <w:tr>
        <w:tblPrEx>
          <w:tblW w:w="9658" w:type="dxa"/>
          <w:jc w:val="center"/>
          <w:tblLayout w:type="fixed"/>
          <w:tblCellMar>
            <w:top w:w="0" w:type="dxa"/>
            <w:left w:w="108" w:type="dxa"/>
            <w:bottom w:w="0" w:type="dxa"/>
            <w:right w:w="108" w:type="dxa"/>
          </w:tblCellMar>
          <w:tblLook w:val="0000"/>
        </w:tblPrEx>
        <w:trPr>
          <w:trHeight w:val="555"/>
          <w:jc w:val="center"/>
        </w:trPr>
        <w:tc>
          <w:tcPr>
            <w:tcW w:w="1334"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color w:val="auto"/>
                <w:sz w:val="18"/>
                <w:szCs w:val="18"/>
              </w:rPr>
            </w:pPr>
            <w:r>
              <w:rPr>
                <w:rFonts w:ascii="宋体" w:hAnsi="宋体" w:cs="宋体" w:hint="eastAsia"/>
                <w:b/>
                <w:color w:val="auto"/>
                <w:sz w:val="18"/>
                <w:szCs w:val="18"/>
              </w:rPr>
              <w:t>实践平台课</w:t>
            </w: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val="0"/>
                <w:bCs w:val="0"/>
                <w:color w:val="auto"/>
                <w:sz w:val="18"/>
                <w:szCs w:val="18"/>
              </w:rPr>
            </w:pPr>
            <w:r>
              <w:rPr>
                <w:rFonts w:ascii="宋体" w:hAnsi="宋体" w:cs="宋体" w:hint="eastAsia"/>
                <w:b w:val="0"/>
                <w:bCs w:val="0"/>
                <w:color w:val="auto"/>
                <w:sz w:val="18"/>
                <w:szCs w:val="18"/>
                <w:lang w:val="en-US" w:eastAsia="zh-CN"/>
              </w:rPr>
              <w:t>39</w:t>
            </w:r>
            <w:r>
              <w:rPr>
                <w:rFonts w:ascii="宋体" w:hAnsi="宋体" w:cs="宋体" w:hint="eastAsia"/>
                <w:b w:val="0"/>
                <w:bCs w:val="0"/>
                <w:color w:val="auto"/>
                <w:sz w:val="18"/>
                <w:szCs w:val="18"/>
              </w:rPr>
              <w:t>周</w:t>
            </w: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val="0"/>
                <w:bCs w:val="0"/>
                <w:color w:val="auto"/>
                <w:sz w:val="18"/>
                <w:szCs w:val="18"/>
              </w:rPr>
            </w:pPr>
            <w:r>
              <w:rPr>
                <w:rFonts w:ascii="宋体" w:hAnsi="宋体" w:cs="宋体" w:hint="eastAsia"/>
                <w:b w:val="0"/>
                <w:bCs w:val="0"/>
                <w:color w:val="auto"/>
                <w:sz w:val="18"/>
                <w:szCs w:val="18"/>
                <w:lang w:val="en-US" w:eastAsia="zh-CN"/>
              </w:rPr>
              <w:t>39</w:t>
            </w:r>
            <w:r>
              <w:rPr>
                <w:rFonts w:ascii="宋体" w:hAnsi="宋体" w:cs="宋体" w:hint="eastAsia"/>
                <w:b w:val="0"/>
                <w:bCs w:val="0"/>
                <w:color w:val="auto"/>
                <w:sz w:val="18"/>
                <w:szCs w:val="18"/>
              </w:rPr>
              <w:t>周</w:t>
            </w:r>
          </w:p>
        </w:tc>
        <w:tc>
          <w:tcPr>
            <w:tcW w:w="9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37</w:t>
            </w:r>
          </w:p>
        </w:tc>
        <w:tc>
          <w:tcPr>
            <w:tcW w:w="83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37</w:t>
            </w:r>
          </w:p>
        </w:tc>
        <w:tc>
          <w:tcPr>
            <w:tcW w:w="883"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hint="eastAsia"/>
                <w:b w:val="0"/>
                <w:bCs w:val="0"/>
                <w:color w:val="auto"/>
                <w:sz w:val="18"/>
                <w:szCs w:val="18"/>
                <w:lang w:val="en-US" w:eastAsia="zh-CN"/>
              </w:rPr>
            </w:pPr>
            <w:r>
              <w:rPr>
                <w:rFonts w:cs="宋体" w:hint="eastAsia"/>
                <w:b w:val="0"/>
                <w:bCs w:val="0"/>
                <w:color w:val="auto"/>
                <w:sz w:val="18"/>
                <w:szCs w:val="18"/>
                <w:lang w:val="en-US" w:eastAsia="zh-CN"/>
              </w:rPr>
              <w:t>21.6</w:t>
            </w:r>
            <w:r>
              <w:rPr>
                <w:rFonts w:ascii="宋体" w:hAnsi="宋体" w:cs="宋体" w:hint="eastAsia"/>
                <w:b w:val="0"/>
                <w:bCs w:val="0"/>
                <w:color w:val="auto"/>
                <w:sz w:val="18"/>
                <w:szCs w:val="18"/>
                <w:lang w:val="en-US" w:eastAsia="zh-CN"/>
              </w:rPr>
              <w:t>%</w:t>
            </w:r>
          </w:p>
        </w:tc>
      </w:tr>
      <w:tr>
        <w:tblPrEx>
          <w:tblW w:w="9658" w:type="dxa"/>
          <w:jc w:val="center"/>
          <w:tblLayout w:type="fixed"/>
          <w:tblCellMar>
            <w:top w:w="0" w:type="dxa"/>
            <w:left w:w="108" w:type="dxa"/>
            <w:bottom w:w="0" w:type="dxa"/>
            <w:right w:w="108" w:type="dxa"/>
          </w:tblCellMar>
          <w:tblLook w:val="0000"/>
        </w:tblPrEx>
        <w:trPr>
          <w:trHeight w:val="574"/>
          <w:jc w:val="center"/>
        </w:trPr>
        <w:tc>
          <w:tcPr>
            <w:tcW w:w="1334"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hAnsi="宋体" w:cs="宋体"/>
                <w:b/>
                <w:color w:val="auto"/>
                <w:sz w:val="18"/>
                <w:szCs w:val="18"/>
              </w:rPr>
            </w:pPr>
            <w:r>
              <w:rPr>
                <w:rFonts w:ascii="宋体" w:hAnsi="宋体" w:cs="宋体" w:hint="eastAsia"/>
                <w:b/>
                <w:color w:val="auto"/>
                <w:sz w:val="18"/>
                <w:szCs w:val="18"/>
              </w:rPr>
              <w:t>合     计</w:t>
            </w:r>
          </w:p>
        </w:tc>
        <w:tc>
          <w:tcPr>
            <w:tcW w:w="7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1364</w:t>
            </w:r>
          </w:p>
        </w:tc>
        <w:tc>
          <w:tcPr>
            <w:tcW w:w="729"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848</w:t>
            </w:r>
          </w:p>
        </w:tc>
        <w:tc>
          <w:tcPr>
            <w:tcW w:w="76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208</w:t>
            </w:r>
          </w:p>
        </w:tc>
        <w:tc>
          <w:tcPr>
            <w:tcW w:w="88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22</w:t>
            </w:r>
            <w:r>
              <w:rPr>
                <w:rFonts w:cs="宋体" w:hint="eastAsia"/>
                <w:b w:val="0"/>
                <w:bCs w:val="0"/>
                <w:color w:val="auto"/>
                <w:sz w:val="18"/>
                <w:szCs w:val="18"/>
                <w:lang w:val="en-US" w:eastAsia="zh-CN"/>
              </w:rPr>
              <w:t>12</w:t>
            </w:r>
          </w:p>
        </w:tc>
        <w:tc>
          <w:tcPr>
            <w:tcW w:w="95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val="0"/>
                <w:bCs w:val="0"/>
                <w:color w:val="auto"/>
                <w:sz w:val="18"/>
                <w:szCs w:val="18"/>
                <w:lang w:val="en-US" w:eastAsia="zh-CN"/>
              </w:rPr>
            </w:pPr>
            <w:r>
              <w:rPr>
                <w:rFonts w:ascii="宋体" w:hAnsi="宋体" w:cs="宋体" w:hint="eastAsia"/>
                <w:b w:val="0"/>
                <w:bCs w:val="0"/>
                <w:color w:val="auto"/>
                <w:sz w:val="18"/>
                <w:szCs w:val="18"/>
                <w:lang w:val="en-US" w:eastAsia="zh-CN"/>
              </w:rPr>
              <w:t>100%</w:t>
            </w:r>
          </w:p>
        </w:tc>
        <w:tc>
          <w:tcPr>
            <w:tcW w:w="8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85</w:t>
            </w:r>
          </w:p>
        </w:tc>
        <w:tc>
          <w:tcPr>
            <w:tcW w:w="800"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86</w:t>
            </w:r>
          </w:p>
        </w:tc>
        <w:tc>
          <w:tcPr>
            <w:tcW w:w="838"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eastAsia="宋体" w:cs="宋体" w:hint="eastAsia"/>
                <w:b w:val="0"/>
                <w:bCs w:val="0"/>
                <w:color w:val="auto"/>
                <w:sz w:val="18"/>
                <w:szCs w:val="18"/>
                <w:lang w:val="en-US" w:eastAsia="zh-CN"/>
              </w:rPr>
              <w:t>13</w:t>
            </w:r>
          </w:p>
        </w:tc>
        <w:tc>
          <w:tcPr>
            <w:tcW w:w="912"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default"/>
                <w:b w:val="0"/>
                <w:bCs w:val="0"/>
                <w:color w:val="auto"/>
                <w:sz w:val="18"/>
                <w:szCs w:val="18"/>
                <w:lang w:val="en-US" w:eastAsia="zh-CN"/>
              </w:rPr>
            </w:pPr>
            <w:r>
              <w:rPr>
                <w:rFonts w:ascii="宋体" w:eastAsia="宋体" w:hAnsi="宋体" w:cs="宋体" w:hint="eastAsia"/>
                <w:b w:val="0"/>
                <w:bCs w:val="0"/>
                <w:color w:val="auto"/>
                <w:sz w:val="18"/>
                <w:szCs w:val="18"/>
                <w:lang w:val="en-US" w:eastAsia="zh-CN"/>
              </w:rPr>
              <w:t>17</w:t>
            </w:r>
            <w:r>
              <w:rPr>
                <w:rFonts w:eastAsia="宋体" w:cs="宋体" w:hint="eastAsia"/>
                <w:b w:val="0"/>
                <w:bCs w:val="0"/>
                <w:color w:val="auto"/>
                <w:sz w:val="18"/>
                <w:szCs w:val="18"/>
                <w:lang w:val="en-US" w:eastAsia="zh-CN"/>
              </w:rPr>
              <w:t>1</w:t>
            </w:r>
          </w:p>
        </w:tc>
        <w:tc>
          <w:tcPr>
            <w:tcW w:w="883" w:type="dxa"/>
            <w:tcBorders>
              <w:top w:val="single" w:sz="4" w:space="0" w:color="auto"/>
              <w:left w:val="single" w:sz="4" w:space="0" w:color="auto"/>
              <w:bottom w:val="single" w:sz="4" w:space="0" w:color="auto"/>
              <w:right w:val="single" w:sz="4" w:space="0" w:color="auto"/>
            </w:tcBorders>
            <w:vAlign w:val="center"/>
          </w:tcPr>
          <w:p>
            <w:pPr>
              <w:shd w:val="clear" w:color="auto" w:fill="auto"/>
              <w:adjustRightInd w:val="0"/>
              <w:snapToGrid w:val="0"/>
              <w:jc w:val="center"/>
              <w:rPr>
                <w:rFonts w:ascii="宋体" w:hAnsi="宋体" w:cs="宋体" w:hint="default"/>
                <w:b w:val="0"/>
                <w:bCs w:val="0"/>
                <w:color w:val="auto"/>
                <w:sz w:val="18"/>
                <w:szCs w:val="18"/>
                <w:lang w:val="en-US" w:eastAsia="zh-CN"/>
              </w:rPr>
            </w:pPr>
            <w:r>
              <w:rPr>
                <w:rFonts w:ascii="宋体" w:hAnsi="宋体" w:cs="宋体" w:hint="eastAsia"/>
                <w:b w:val="0"/>
                <w:bCs w:val="0"/>
                <w:color w:val="auto"/>
                <w:sz w:val="18"/>
                <w:szCs w:val="18"/>
                <w:lang w:val="en-US" w:eastAsia="zh-CN"/>
              </w:rPr>
              <w:t>100%</w:t>
            </w:r>
          </w:p>
        </w:tc>
      </w:tr>
    </w:tbl>
    <w:p>
      <w:pPr>
        <w:spacing w:line="360" w:lineRule="auto"/>
        <w:ind w:firstLine="480" w:firstLineChars="200"/>
        <w:rPr>
          <w:rFonts w:ascii="宋体" w:eastAsia="宋体" w:hAnsi="宋体" w:cs="宋体" w:hint="eastAsia"/>
          <w:color w:val="auto"/>
          <w:sz w:val="24"/>
        </w:rPr>
      </w:pPr>
    </w:p>
    <w:p>
      <w:pPr>
        <w:spacing w:line="360" w:lineRule="auto"/>
        <w:rPr>
          <w:rFonts w:ascii="宋体" w:eastAsia="宋体" w:hAnsi="宋体" w:cs="宋体" w:hint="eastAsia"/>
          <w:color w:val="auto"/>
          <w:sz w:val="24"/>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rPr>
      </w:pPr>
      <w:r>
        <w:rPr>
          <w:rFonts w:ascii="宋体" w:hAnsi="宋体" w:cs="宋体" w:hint="eastAsia"/>
          <w:b/>
          <w:bCs/>
          <w:color w:val="auto"/>
          <w:sz w:val="28"/>
          <w:szCs w:val="28"/>
          <w:highlight w:val="none"/>
          <w:lang w:eastAsia="zh-CN"/>
        </w:rPr>
        <w:t>（二）</w:t>
      </w:r>
      <w:r>
        <w:rPr>
          <w:rFonts w:ascii="宋体" w:hAnsi="宋体" w:cs="宋体" w:hint="eastAsia"/>
          <w:b/>
          <w:bCs/>
          <w:color w:val="auto"/>
          <w:sz w:val="28"/>
          <w:szCs w:val="28"/>
          <w:highlight w:val="none"/>
        </w:rPr>
        <w:t>课程教学计划进程表</w:t>
      </w:r>
    </w:p>
    <w:tbl>
      <w:tblPr>
        <w:tblStyle w:val="TableNormal"/>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615"/>
        <w:gridCol w:w="750"/>
        <w:gridCol w:w="855"/>
        <w:gridCol w:w="1881"/>
        <w:gridCol w:w="320"/>
        <w:gridCol w:w="442"/>
        <w:gridCol w:w="442"/>
        <w:gridCol w:w="484"/>
        <w:gridCol w:w="345"/>
        <w:gridCol w:w="345"/>
        <w:gridCol w:w="345"/>
        <w:gridCol w:w="345"/>
        <w:gridCol w:w="345"/>
        <w:gridCol w:w="345"/>
        <w:gridCol w:w="345"/>
        <w:gridCol w:w="345"/>
        <w:gridCol w:w="469"/>
        <w:gridCol w:w="375"/>
      </w:tblGrid>
      <w:tr>
        <w:tblPrEx>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607"/>
          <w:jc w:val="center"/>
        </w:trPr>
        <w:tc>
          <w:tcPr>
            <w:tcW w:w="615" w:type="dxa"/>
            <w:vMerge w:val="restart"/>
            <w:tcBorders>
              <w:left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平台</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类别</w:t>
            </w:r>
          </w:p>
        </w:tc>
        <w:tc>
          <w:tcPr>
            <w:tcW w:w="750" w:type="dxa"/>
            <w:vMerge w:val="restart"/>
            <w:tcBorders>
              <w:left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课程</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类别</w:t>
            </w:r>
          </w:p>
        </w:tc>
        <w:tc>
          <w:tcPr>
            <w:tcW w:w="855" w:type="dxa"/>
            <w:vMerge w:val="restart"/>
            <w:tcBorders>
              <w:left w:val="single" w:sz="4" w:space="0" w:color="auto"/>
              <w:right w:val="single" w:sz="4" w:space="0" w:color="auto"/>
            </w:tcBorders>
            <w:vAlign w:val="center"/>
          </w:tcPr>
          <w:p>
            <w:pPr>
              <w:widowControl/>
              <w:jc w:val="center"/>
              <w:rPr>
                <w:rFonts w:ascii="宋体" w:eastAsia="宋体" w:hAnsi="宋体" w:hint="eastAsia"/>
                <w:b/>
                <w:bCs/>
                <w:color w:val="auto"/>
                <w:sz w:val="18"/>
                <w:szCs w:val="18"/>
                <w:highlight w:val="none"/>
                <w:lang w:eastAsia="zh-CN"/>
              </w:rPr>
            </w:pPr>
            <w:r>
              <w:rPr>
                <w:rFonts w:ascii="宋体" w:hAnsi="宋体" w:hint="eastAsia"/>
                <w:b/>
                <w:bCs/>
                <w:color w:val="auto"/>
                <w:sz w:val="18"/>
                <w:szCs w:val="18"/>
                <w:highlight w:val="none"/>
                <w:lang w:eastAsia="zh-CN"/>
              </w:rPr>
              <w:t>课程编号</w:t>
            </w:r>
          </w:p>
        </w:tc>
        <w:tc>
          <w:tcPr>
            <w:tcW w:w="1881" w:type="dxa"/>
            <w:vMerge w:val="restart"/>
            <w:tcBorders>
              <w:left w:val="single" w:sz="4" w:space="0" w:color="auto"/>
              <w:right w:val="single" w:sz="4" w:space="0" w:color="auto"/>
            </w:tcBorders>
            <w:vAlign w:val="center"/>
          </w:tcPr>
          <w:p>
            <w:pPr>
              <w:widowControl/>
              <w:jc w:val="center"/>
              <w:rPr>
                <w:rFonts w:ascii="宋体" w:eastAsia="宋体" w:hAnsi="宋体" w:cs="宋体" w:hint="eastAsia"/>
                <w:b/>
                <w:bCs/>
                <w:color w:val="auto"/>
                <w:sz w:val="18"/>
                <w:szCs w:val="18"/>
                <w:highlight w:val="none"/>
                <w:lang w:eastAsia="zh-CN"/>
              </w:rPr>
            </w:pPr>
            <w:r>
              <w:rPr>
                <w:rFonts w:ascii="宋体" w:hAnsi="宋体" w:cs="宋体" w:hint="eastAsia"/>
                <w:b/>
                <w:bCs/>
                <w:color w:val="auto"/>
                <w:sz w:val="18"/>
                <w:szCs w:val="18"/>
                <w:highlight w:val="none"/>
                <w:lang w:eastAsia="zh-CN"/>
              </w:rPr>
              <w:t>课程名称</w:t>
            </w:r>
          </w:p>
        </w:tc>
        <w:tc>
          <w:tcPr>
            <w:tcW w:w="1688" w:type="dxa"/>
            <w:gridSpan w:val="4"/>
            <w:tcBorders>
              <w:left w:val="single" w:sz="4" w:space="0" w:color="auto"/>
              <w:bottom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课程学时、学分</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及分配</w:t>
            </w:r>
          </w:p>
        </w:tc>
        <w:tc>
          <w:tcPr>
            <w:tcW w:w="2760" w:type="dxa"/>
            <w:gridSpan w:val="8"/>
            <w:tcBorders>
              <w:top w:val="single" w:sz="4" w:space="0" w:color="auto"/>
              <w:left w:val="single" w:sz="4" w:space="0" w:color="auto"/>
              <w:bottom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hint="eastAsia"/>
                <w:b/>
                <w:bCs/>
                <w:color w:val="auto"/>
                <w:sz w:val="18"/>
                <w:szCs w:val="18"/>
                <w:highlight w:val="none"/>
                <w:lang w:eastAsia="zh-CN"/>
              </w:rPr>
            </w:pPr>
            <w:r>
              <w:rPr>
                <w:rFonts w:ascii="宋体" w:hAnsi="宋体" w:cs="宋体" w:hint="eastAsia"/>
                <w:b/>
                <w:bCs/>
                <w:color w:val="auto"/>
                <w:sz w:val="18"/>
                <w:szCs w:val="18"/>
                <w:highlight w:val="none"/>
                <w:lang w:eastAsia="zh-CN"/>
              </w:rPr>
              <w:t>各学年、学期</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eastAsia="宋体" w:hAnsi="宋体" w:cs="宋体" w:hint="default"/>
                <w:b/>
                <w:bCs/>
                <w:color w:val="auto"/>
                <w:sz w:val="18"/>
                <w:szCs w:val="18"/>
                <w:highlight w:val="none"/>
                <w:lang w:val="en-US" w:eastAsia="zh-CN"/>
              </w:rPr>
            </w:pPr>
            <w:r>
              <w:rPr>
                <w:rFonts w:ascii="宋体" w:hAnsi="宋体" w:cs="宋体" w:hint="eastAsia"/>
                <w:b/>
                <w:bCs/>
                <w:color w:val="auto"/>
                <w:sz w:val="18"/>
                <w:szCs w:val="18"/>
                <w:highlight w:val="none"/>
                <w:lang w:eastAsia="zh-CN"/>
              </w:rPr>
              <w:t>周学时</w:t>
            </w:r>
          </w:p>
        </w:tc>
        <w:tc>
          <w:tcPr>
            <w:tcW w:w="469" w:type="dxa"/>
            <w:vMerge w:val="restart"/>
            <w:tcBorders>
              <w:left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课程属性</w:t>
            </w:r>
          </w:p>
        </w:tc>
        <w:tc>
          <w:tcPr>
            <w:tcW w:w="375" w:type="dxa"/>
            <w:vMerge w:val="restart"/>
            <w:tcBorders>
              <w:left w:val="single" w:sz="4" w:space="0" w:color="auto"/>
              <w:right w:val="single" w:sz="4" w:space="0" w:color="auto"/>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hint="eastAsia"/>
                <w:b/>
                <w:color w:val="auto"/>
                <w:sz w:val="18"/>
                <w:szCs w:val="18"/>
                <w:highlight w:val="none"/>
                <w:lang w:eastAsia="zh-CN"/>
              </w:rPr>
            </w:pPr>
            <w:r>
              <w:rPr>
                <w:rFonts w:ascii="宋体" w:hAnsi="宋体" w:hint="eastAsia"/>
                <w:b/>
                <w:color w:val="auto"/>
                <w:sz w:val="18"/>
                <w:szCs w:val="18"/>
                <w:highlight w:val="none"/>
                <w:lang w:eastAsia="zh-CN"/>
              </w:rPr>
              <w:t>考核方式</w:t>
            </w:r>
          </w:p>
        </w:tc>
      </w:tr>
      <w:tr>
        <w:tblPrEx>
          <w:tblW w:w="9393" w:type="dxa"/>
          <w:jc w:val="center"/>
          <w:tblLayout w:type="fixed"/>
          <w:tblCellMar>
            <w:top w:w="0" w:type="dxa"/>
            <w:left w:w="0" w:type="dxa"/>
            <w:bottom w:w="0" w:type="dxa"/>
            <w:right w:w="0" w:type="dxa"/>
          </w:tblCellMar>
          <w:tblLook w:val="0000"/>
        </w:tblPrEx>
        <w:trPr>
          <w:trHeight w:val="422"/>
          <w:jc w:val="center"/>
        </w:trPr>
        <w:tc>
          <w:tcPr>
            <w:tcW w:w="615" w:type="dxa"/>
            <w:vMerge/>
            <w:tcBorders>
              <w:left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750" w:type="dxa"/>
            <w:vMerge/>
            <w:tcBorders>
              <w:left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855" w:type="dxa"/>
            <w:vMerge/>
            <w:tcBorders>
              <w:left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1881" w:type="dxa"/>
            <w:vMerge/>
            <w:tcBorders>
              <w:left w:val="single" w:sz="4" w:space="0" w:color="auto"/>
              <w:right w:val="single" w:sz="4" w:space="0" w:color="auto"/>
            </w:tcBorders>
            <w:vAlign w:val="center"/>
          </w:tcPr>
          <w:p>
            <w:pPr>
              <w:widowControl/>
              <w:jc w:val="center"/>
              <w:rPr>
                <w:rFonts w:ascii="宋体" w:hAnsi="宋体" w:cs="宋体"/>
                <w:b/>
                <w:bCs/>
                <w:color w:val="auto"/>
                <w:sz w:val="18"/>
                <w:szCs w:val="18"/>
                <w:highlight w:val="none"/>
              </w:rPr>
            </w:pPr>
          </w:p>
        </w:tc>
        <w:tc>
          <w:tcPr>
            <w:tcW w:w="320" w:type="dxa"/>
            <w:vMerge w:val="restart"/>
            <w:tcBorders>
              <w:left w:val="single" w:sz="4" w:space="0" w:color="auto"/>
              <w:right w:val="single" w:sz="4" w:space="0" w:color="auto"/>
            </w:tcBorders>
            <w:vAlign w:val="center"/>
          </w:tcPr>
          <w:p>
            <w:pPr>
              <w:widowControl/>
              <w:jc w:val="center"/>
              <w:rPr>
                <w:rFonts w:ascii="宋体" w:eastAsia="宋体" w:hAnsi="宋体" w:cs="宋体" w:hint="eastAsia"/>
                <w:b/>
                <w:color w:val="auto"/>
                <w:sz w:val="18"/>
                <w:szCs w:val="18"/>
                <w:highlight w:val="none"/>
                <w:lang w:eastAsia="zh-CN"/>
              </w:rPr>
            </w:pPr>
            <w:r>
              <w:rPr>
                <w:rFonts w:ascii="宋体" w:hAnsi="宋体" w:cs="宋体" w:hint="eastAsia"/>
                <w:b/>
                <w:color w:val="auto"/>
                <w:sz w:val="18"/>
                <w:szCs w:val="18"/>
                <w:highlight w:val="none"/>
                <w:lang w:eastAsia="zh-CN"/>
              </w:rPr>
              <w:t>学分</w:t>
            </w:r>
          </w:p>
        </w:tc>
        <w:tc>
          <w:tcPr>
            <w:tcW w:w="442" w:type="dxa"/>
            <w:vMerge w:val="restart"/>
            <w:tcBorders>
              <w:left w:val="single" w:sz="4" w:space="0" w:color="auto"/>
              <w:right w:val="single" w:sz="4" w:space="0" w:color="auto"/>
            </w:tcBorders>
            <w:vAlign w:val="center"/>
          </w:tcPr>
          <w:p>
            <w:pPr>
              <w:widowControl/>
              <w:jc w:val="center"/>
              <w:rPr>
                <w:rFonts w:ascii="宋体" w:eastAsia="宋体" w:hAnsi="宋体" w:cs="宋体" w:hint="eastAsia"/>
                <w:b/>
                <w:color w:val="auto"/>
                <w:sz w:val="18"/>
                <w:szCs w:val="18"/>
                <w:highlight w:val="none"/>
                <w:lang w:eastAsia="zh-CN"/>
              </w:rPr>
            </w:pPr>
            <w:r>
              <w:rPr>
                <w:rFonts w:ascii="宋体" w:hAnsi="宋体" w:cs="宋体" w:hint="eastAsia"/>
                <w:b/>
                <w:color w:val="auto"/>
                <w:sz w:val="18"/>
                <w:szCs w:val="18"/>
                <w:highlight w:val="none"/>
                <w:lang w:eastAsia="zh-CN"/>
              </w:rPr>
              <w:t>总学时</w:t>
            </w:r>
          </w:p>
        </w:tc>
        <w:tc>
          <w:tcPr>
            <w:tcW w:w="442" w:type="dxa"/>
            <w:vMerge w:val="restart"/>
            <w:tcBorders>
              <w:left w:val="single" w:sz="4" w:space="0" w:color="auto"/>
              <w:right w:val="single" w:sz="4" w:space="0" w:color="auto"/>
            </w:tcBorders>
            <w:vAlign w:val="center"/>
          </w:tcPr>
          <w:p>
            <w:pPr>
              <w:widowControl/>
              <w:jc w:val="center"/>
              <w:rPr>
                <w:rFonts w:ascii="宋体" w:eastAsia="宋体" w:hAnsi="宋体" w:cs="宋体" w:hint="eastAsia"/>
                <w:b/>
                <w:color w:val="auto"/>
                <w:sz w:val="18"/>
                <w:szCs w:val="18"/>
                <w:highlight w:val="none"/>
                <w:lang w:eastAsia="zh-CN"/>
              </w:rPr>
            </w:pPr>
            <w:r>
              <w:rPr>
                <w:rFonts w:ascii="宋体" w:hAnsi="宋体" w:cs="宋体" w:hint="eastAsia"/>
                <w:b/>
                <w:color w:val="auto"/>
                <w:sz w:val="18"/>
                <w:szCs w:val="18"/>
                <w:highlight w:val="none"/>
                <w:lang w:eastAsia="zh-CN"/>
              </w:rPr>
              <w:t>课内讲授</w:t>
            </w:r>
          </w:p>
        </w:tc>
        <w:tc>
          <w:tcPr>
            <w:tcW w:w="484" w:type="dxa"/>
            <w:vMerge w:val="restart"/>
            <w:tcBorders>
              <w:left w:val="single" w:sz="4" w:space="0" w:color="auto"/>
              <w:right w:val="single" w:sz="4" w:space="0" w:color="auto"/>
            </w:tcBorders>
            <w:vAlign w:val="center"/>
          </w:tcPr>
          <w:p>
            <w:pPr>
              <w:widowControl/>
              <w:jc w:val="center"/>
              <w:rPr>
                <w:rFonts w:ascii="宋体" w:eastAsia="宋体" w:hAnsi="宋体" w:hint="eastAsia"/>
                <w:b/>
                <w:color w:val="auto"/>
                <w:sz w:val="18"/>
                <w:szCs w:val="18"/>
                <w:highlight w:val="none"/>
                <w:lang w:eastAsia="zh-CN"/>
              </w:rPr>
            </w:pPr>
            <w:r>
              <w:rPr>
                <w:rFonts w:ascii="宋体" w:hAnsi="宋体" w:hint="eastAsia"/>
                <w:b/>
                <w:color w:val="auto"/>
                <w:sz w:val="18"/>
                <w:szCs w:val="18"/>
                <w:highlight w:val="none"/>
                <w:lang w:eastAsia="zh-CN"/>
              </w:rPr>
              <w:t>课内实验</w:t>
            </w:r>
          </w:p>
        </w:tc>
        <w:tc>
          <w:tcPr>
            <w:tcW w:w="690" w:type="dxa"/>
            <w:gridSpan w:val="2"/>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hint="eastAsia"/>
                <w:b/>
                <w:color w:val="auto"/>
                <w:sz w:val="18"/>
                <w:szCs w:val="18"/>
                <w:highlight w:val="none"/>
                <w:lang w:val="en-US" w:eastAsia="zh-CN"/>
              </w:rPr>
            </w:pPr>
            <w:r>
              <w:rPr>
                <w:rFonts w:ascii="宋体" w:hAnsi="宋体" w:hint="eastAsia"/>
                <w:b/>
                <w:color w:val="auto"/>
                <w:sz w:val="18"/>
                <w:szCs w:val="18"/>
                <w:highlight w:val="none"/>
                <w:lang w:val="en-US" w:eastAsia="zh-CN"/>
              </w:rPr>
              <w:t>1学年</w:t>
            </w:r>
          </w:p>
        </w:tc>
        <w:tc>
          <w:tcPr>
            <w:tcW w:w="690" w:type="dxa"/>
            <w:gridSpan w:val="2"/>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hint="eastAsia"/>
                <w:b/>
                <w:color w:val="auto"/>
                <w:sz w:val="18"/>
                <w:szCs w:val="18"/>
                <w:highlight w:val="none"/>
                <w:lang w:val="en-US" w:eastAsia="zh-CN"/>
              </w:rPr>
            </w:pPr>
            <w:r>
              <w:rPr>
                <w:rFonts w:ascii="宋体" w:hAnsi="宋体" w:hint="eastAsia"/>
                <w:b/>
                <w:color w:val="auto"/>
                <w:sz w:val="18"/>
                <w:szCs w:val="18"/>
                <w:highlight w:val="none"/>
                <w:lang w:val="en-US" w:eastAsia="zh-CN"/>
              </w:rPr>
              <w:t>2学年</w:t>
            </w:r>
          </w:p>
        </w:tc>
        <w:tc>
          <w:tcPr>
            <w:tcW w:w="690" w:type="dxa"/>
            <w:gridSpan w:val="2"/>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hint="eastAsia"/>
                <w:b/>
                <w:color w:val="auto"/>
                <w:sz w:val="18"/>
                <w:szCs w:val="18"/>
                <w:highlight w:val="none"/>
                <w:lang w:val="en-US" w:eastAsia="zh-CN"/>
              </w:rPr>
            </w:pPr>
            <w:r>
              <w:rPr>
                <w:rFonts w:ascii="宋体" w:hAnsi="宋体" w:hint="eastAsia"/>
                <w:b/>
                <w:color w:val="auto"/>
                <w:sz w:val="18"/>
                <w:szCs w:val="18"/>
                <w:highlight w:val="none"/>
                <w:lang w:val="en-US" w:eastAsia="zh-CN"/>
              </w:rPr>
              <w:t>3学年</w:t>
            </w:r>
          </w:p>
        </w:tc>
        <w:tc>
          <w:tcPr>
            <w:tcW w:w="690" w:type="dxa"/>
            <w:gridSpan w:val="2"/>
            <w:tcBorders>
              <w:left w:val="single" w:sz="4" w:space="0" w:color="auto"/>
              <w:bottom w:val="single" w:sz="4" w:space="0" w:color="auto"/>
              <w:right w:val="single" w:sz="4" w:space="0" w:color="auto"/>
            </w:tcBorders>
            <w:vAlign w:val="center"/>
          </w:tcPr>
          <w:p>
            <w:pPr>
              <w:widowControl/>
              <w:jc w:val="center"/>
              <w:rPr>
                <w:rFonts w:ascii="宋体" w:eastAsia="宋体" w:hAnsi="宋体" w:cs="宋体" w:hint="eastAsia"/>
                <w:b/>
                <w:bCs/>
                <w:color w:val="auto"/>
                <w:sz w:val="18"/>
                <w:szCs w:val="18"/>
                <w:highlight w:val="none"/>
                <w:lang w:val="en-US" w:eastAsia="zh-CN"/>
              </w:rPr>
            </w:pPr>
            <w:r>
              <w:rPr>
                <w:rFonts w:ascii="宋体" w:hAnsi="宋体" w:cs="宋体" w:hint="eastAsia"/>
                <w:b/>
                <w:bCs/>
                <w:color w:val="auto"/>
                <w:sz w:val="18"/>
                <w:szCs w:val="18"/>
                <w:highlight w:val="none"/>
                <w:lang w:val="en-US" w:eastAsia="zh-CN"/>
              </w:rPr>
              <w:t>4学年</w:t>
            </w:r>
          </w:p>
        </w:tc>
        <w:tc>
          <w:tcPr>
            <w:tcW w:w="469" w:type="dxa"/>
            <w:vMerge/>
            <w:tcBorders>
              <w:left w:val="single" w:sz="4" w:space="0" w:color="auto"/>
              <w:right w:val="single" w:sz="4" w:space="0" w:color="auto"/>
            </w:tcBorders>
          </w:tcPr>
          <w:p>
            <w:pPr>
              <w:widowControl/>
              <w:jc w:val="center"/>
              <w:rPr>
                <w:rFonts w:ascii="宋体" w:hAnsi="宋体" w:cs="宋体"/>
                <w:color w:val="auto"/>
                <w:sz w:val="18"/>
                <w:szCs w:val="18"/>
                <w:highlight w:val="none"/>
              </w:rPr>
            </w:pPr>
          </w:p>
        </w:tc>
        <w:tc>
          <w:tcPr>
            <w:tcW w:w="375" w:type="dxa"/>
            <w:vMerge/>
            <w:tcBorders>
              <w:left w:val="single" w:sz="4" w:space="0" w:color="auto"/>
              <w:right w:val="single" w:sz="4" w:space="0" w:color="auto"/>
            </w:tcBorders>
            <w:vAlign w:val="center"/>
          </w:tcPr>
          <w:p>
            <w:pPr>
              <w:widowControl/>
              <w:jc w:val="center"/>
              <w:rPr>
                <w:rFonts w:ascii="宋体" w:hAnsi="宋体" w:cs="宋体"/>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271"/>
          <w:jc w:val="center"/>
        </w:trPr>
        <w:tc>
          <w:tcPr>
            <w:tcW w:w="615" w:type="dxa"/>
            <w:vMerge/>
            <w:tcBorders>
              <w:left w:val="single" w:sz="4" w:space="0" w:color="auto"/>
              <w:bottom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750" w:type="dxa"/>
            <w:vMerge/>
            <w:tcBorders>
              <w:left w:val="single" w:sz="4" w:space="0" w:color="auto"/>
              <w:bottom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855" w:type="dxa"/>
            <w:vMerge/>
            <w:tcBorders>
              <w:left w:val="single" w:sz="4" w:space="0" w:color="auto"/>
              <w:bottom w:val="single" w:sz="4" w:space="0" w:color="auto"/>
              <w:right w:val="single" w:sz="4" w:space="0" w:color="auto"/>
            </w:tcBorders>
            <w:vAlign w:val="center"/>
          </w:tcPr>
          <w:p>
            <w:pPr>
              <w:widowControl/>
              <w:jc w:val="center"/>
              <w:rPr>
                <w:rFonts w:ascii="宋体" w:hAnsi="宋体"/>
                <w:b/>
                <w:bCs/>
                <w:color w:val="auto"/>
                <w:sz w:val="18"/>
                <w:szCs w:val="18"/>
                <w:highlight w:val="none"/>
              </w:rPr>
            </w:pPr>
          </w:p>
        </w:tc>
        <w:tc>
          <w:tcPr>
            <w:tcW w:w="1881" w:type="dxa"/>
            <w:vMerge/>
            <w:tcBorders>
              <w:left w:val="single" w:sz="4" w:space="0" w:color="auto"/>
              <w:bottom w:val="single" w:sz="4" w:space="0" w:color="auto"/>
              <w:right w:val="single" w:sz="4" w:space="0" w:color="auto"/>
            </w:tcBorders>
            <w:vAlign w:val="center"/>
          </w:tcPr>
          <w:p>
            <w:pPr>
              <w:widowControl/>
              <w:jc w:val="center"/>
              <w:rPr>
                <w:rFonts w:ascii="宋体" w:hAnsi="宋体" w:cs="宋体"/>
                <w:b/>
                <w:bCs/>
                <w:color w:val="auto"/>
                <w:sz w:val="18"/>
                <w:szCs w:val="18"/>
                <w:highlight w:val="none"/>
              </w:rPr>
            </w:pPr>
          </w:p>
        </w:tc>
        <w:tc>
          <w:tcPr>
            <w:tcW w:w="320" w:type="dxa"/>
            <w:vMerge/>
            <w:tcBorders>
              <w:left w:val="single" w:sz="4" w:space="0" w:color="auto"/>
              <w:bottom w:val="single" w:sz="4" w:space="0" w:color="auto"/>
              <w:right w:val="single" w:sz="4" w:space="0" w:color="auto"/>
            </w:tcBorders>
            <w:vAlign w:val="center"/>
          </w:tcPr>
          <w:p>
            <w:pPr>
              <w:widowControl/>
              <w:jc w:val="center"/>
              <w:rPr>
                <w:rFonts w:ascii="宋体" w:hAnsi="宋体" w:cs="宋体"/>
                <w:b/>
                <w:color w:val="auto"/>
                <w:sz w:val="18"/>
                <w:szCs w:val="18"/>
                <w:highlight w:val="none"/>
              </w:rPr>
            </w:pPr>
          </w:p>
        </w:tc>
        <w:tc>
          <w:tcPr>
            <w:tcW w:w="442" w:type="dxa"/>
            <w:vMerge/>
            <w:tcBorders>
              <w:left w:val="single" w:sz="4" w:space="0" w:color="auto"/>
              <w:bottom w:val="single" w:sz="4" w:space="0" w:color="auto"/>
              <w:right w:val="single" w:sz="4" w:space="0" w:color="auto"/>
            </w:tcBorders>
            <w:vAlign w:val="center"/>
          </w:tcPr>
          <w:p>
            <w:pPr>
              <w:widowControl/>
              <w:jc w:val="center"/>
              <w:rPr>
                <w:rFonts w:ascii="宋体" w:hAnsi="宋体" w:cs="宋体"/>
                <w:b/>
                <w:color w:val="auto"/>
                <w:sz w:val="18"/>
                <w:szCs w:val="18"/>
                <w:highlight w:val="none"/>
              </w:rPr>
            </w:pPr>
          </w:p>
        </w:tc>
        <w:tc>
          <w:tcPr>
            <w:tcW w:w="442" w:type="dxa"/>
            <w:vMerge/>
            <w:tcBorders>
              <w:left w:val="single" w:sz="4" w:space="0" w:color="auto"/>
              <w:bottom w:val="single" w:sz="4" w:space="0" w:color="auto"/>
              <w:right w:val="single" w:sz="4" w:space="0" w:color="auto"/>
            </w:tcBorders>
            <w:vAlign w:val="center"/>
          </w:tcPr>
          <w:p>
            <w:pPr>
              <w:widowControl/>
              <w:jc w:val="center"/>
              <w:rPr>
                <w:rFonts w:ascii="宋体" w:hAnsi="宋体" w:cs="宋体"/>
                <w:b/>
                <w:color w:val="auto"/>
                <w:sz w:val="18"/>
                <w:szCs w:val="18"/>
                <w:highlight w:val="none"/>
              </w:rPr>
            </w:pPr>
          </w:p>
        </w:tc>
        <w:tc>
          <w:tcPr>
            <w:tcW w:w="484" w:type="dxa"/>
            <w:vMerge/>
            <w:tcBorders>
              <w:left w:val="single" w:sz="4" w:space="0" w:color="auto"/>
              <w:bottom w:val="single" w:sz="4" w:space="0" w:color="auto"/>
              <w:right w:val="single" w:sz="4" w:space="0" w:color="auto"/>
            </w:tcBorders>
            <w:vAlign w:val="center"/>
          </w:tcPr>
          <w:p>
            <w:pPr>
              <w:widowControl/>
              <w:jc w:val="center"/>
              <w:rPr>
                <w:rFonts w:ascii="宋体" w:hAnsi="宋体"/>
                <w:b/>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color w:val="auto"/>
                <w:kern w:val="2"/>
                <w:sz w:val="18"/>
                <w:szCs w:val="18"/>
                <w:highlight w:val="none"/>
                <w:lang w:val="en-US" w:eastAsia="zh-CN" w:bidi="ar-SA"/>
              </w:rPr>
            </w:pPr>
            <w:r>
              <w:rPr>
                <w:rFonts w:ascii="宋体" w:hAnsi="宋体" w:hint="eastAsia"/>
                <w:b/>
                <w:color w:val="auto"/>
                <w:sz w:val="18"/>
                <w:szCs w:val="18"/>
                <w:highlight w:val="none"/>
              </w:rPr>
              <w:t>1</w:t>
            </w: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Times New Roman" w:hint="eastAsia"/>
                <w:b/>
                <w:color w:val="auto"/>
                <w:kern w:val="2"/>
                <w:sz w:val="18"/>
                <w:szCs w:val="18"/>
                <w:highlight w:val="none"/>
                <w:lang w:val="en-US" w:eastAsia="zh-CN" w:bidi="ar-SA"/>
              </w:rPr>
            </w:pPr>
            <w:r>
              <w:rPr>
                <w:rFonts w:ascii="宋体" w:hAnsi="宋体" w:hint="eastAsia"/>
                <w:b/>
                <w:color w:val="auto"/>
                <w:sz w:val="18"/>
                <w:szCs w:val="18"/>
                <w:highlight w:val="none"/>
              </w:rPr>
              <w:t>2</w:t>
            </w: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color w:val="auto"/>
                <w:kern w:val="2"/>
                <w:sz w:val="18"/>
                <w:szCs w:val="18"/>
                <w:highlight w:val="none"/>
                <w:lang w:val="en-US" w:eastAsia="zh-CN" w:bidi="ar-SA"/>
              </w:rPr>
            </w:pPr>
            <w:r>
              <w:rPr>
                <w:rFonts w:ascii="宋体" w:hAnsi="宋体" w:cs="宋体" w:hint="eastAsia"/>
                <w:b/>
                <w:color w:val="auto"/>
                <w:sz w:val="18"/>
                <w:szCs w:val="18"/>
                <w:highlight w:val="none"/>
              </w:rPr>
              <w:t>3</w:t>
            </w: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color w:val="auto"/>
                <w:kern w:val="2"/>
                <w:sz w:val="18"/>
                <w:szCs w:val="18"/>
                <w:highlight w:val="none"/>
                <w:lang w:val="en-US" w:eastAsia="zh-CN" w:bidi="ar-SA"/>
              </w:rPr>
            </w:pPr>
            <w:r>
              <w:rPr>
                <w:rFonts w:ascii="宋体" w:hAnsi="宋体" w:hint="eastAsia"/>
                <w:b/>
                <w:color w:val="auto"/>
                <w:sz w:val="18"/>
                <w:szCs w:val="18"/>
                <w:highlight w:val="none"/>
              </w:rPr>
              <w:t>4</w:t>
            </w: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color w:val="auto"/>
                <w:kern w:val="2"/>
                <w:sz w:val="18"/>
                <w:szCs w:val="18"/>
                <w:highlight w:val="none"/>
                <w:lang w:val="en-US" w:eastAsia="zh-CN" w:bidi="ar-SA"/>
              </w:rPr>
            </w:pPr>
            <w:r>
              <w:rPr>
                <w:rFonts w:ascii="宋体" w:hAnsi="宋体" w:cs="宋体" w:hint="eastAsia"/>
                <w:b/>
                <w:color w:val="auto"/>
                <w:sz w:val="18"/>
                <w:szCs w:val="18"/>
                <w:highlight w:val="none"/>
              </w:rPr>
              <w:t>5</w:t>
            </w:r>
          </w:p>
        </w:tc>
        <w:tc>
          <w:tcPr>
            <w:tcW w:w="345" w:type="dxa"/>
            <w:tcBorders>
              <w:top w:val="single" w:sz="4" w:space="0" w:color="auto"/>
              <w:left w:val="single" w:sz="4" w:space="0" w:color="auto"/>
              <w:bottom w:val="single" w:sz="4" w:space="0" w:color="auto"/>
              <w:right w:val="single" w:sz="4" w:space="0" w:color="auto"/>
            </w:tcBorders>
            <w:vAlign w:val="center"/>
          </w:tcPr>
          <w:p>
            <w:pPr>
              <w:adjustRightInd w:val="0"/>
              <w:snapToGrid w:val="0"/>
              <w:jc w:val="center"/>
              <w:rPr>
                <w:rFonts w:ascii="宋体" w:eastAsia="宋体" w:hAnsi="宋体" w:cs="宋体" w:hint="eastAsia"/>
                <w:b/>
                <w:color w:val="auto"/>
                <w:kern w:val="2"/>
                <w:sz w:val="18"/>
                <w:szCs w:val="18"/>
                <w:highlight w:val="none"/>
                <w:lang w:val="en-US" w:eastAsia="zh-CN" w:bidi="ar-SA"/>
              </w:rPr>
            </w:pPr>
            <w:r>
              <w:rPr>
                <w:rFonts w:ascii="宋体" w:hAnsi="宋体" w:hint="eastAsia"/>
                <w:b/>
                <w:color w:val="auto"/>
                <w:sz w:val="18"/>
                <w:szCs w:val="18"/>
                <w:highlight w:val="none"/>
              </w:rPr>
              <w:t>6</w:t>
            </w:r>
          </w:p>
        </w:tc>
        <w:tc>
          <w:tcPr>
            <w:tcW w:w="345" w:type="dxa"/>
            <w:tcBorders>
              <w:left w:val="single" w:sz="4" w:space="0" w:color="auto"/>
              <w:bottom w:val="single" w:sz="4" w:space="0" w:color="auto"/>
              <w:right w:val="single" w:sz="4" w:space="0" w:color="auto"/>
            </w:tcBorders>
            <w:vAlign w:val="center"/>
          </w:tcPr>
          <w:p>
            <w:pPr>
              <w:widowControl/>
              <w:jc w:val="center"/>
              <w:rPr>
                <w:rFonts w:ascii="宋体" w:eastAsia="宋体" w:hAnsi="宋体" w:cs="宋体" w:hint="eastAsia"/>
                <w:b/>
                <w:bCs/>
                <w:color w:val="auto"/>
                <w:kern w:val="2"/>
                <w:sz w:val="18"/>
                <w:szCs w:val="18"/>
                <w:highlight w:val="none"/>
                <w:lang w:val="en-US" w:eastAsia="zh-CN" w:bidi="ar-SA"/>
              </w:rPr>
            </w:pPr>
            <w:r>
              <w:rPr>
                <w:rFonts w:ascii="宋体" w:hAnsi="宋体" w:cs="宋体" w:hint="eastAsia"/>
                <w:b/>
                <w:bCs/>
                <w:color w:val="auto"/>
                <w:sz w:val="18"/>
                <w:szCs w:val="18"/>
                <w:highlight w:val="none"/>
              </w:rPr>
              <w:t>7</w:t>
            </w:r>
          </w:p>
        </w:tc>
        <w:tc>
          <w:tcPr>
            <w:tcW w:w="345" w:type="dxa"/>
            <w:tcBorders>
              <w:left w:val="single" w:sz="4" w:space="0" w:color="auto"/>
              <w:bottom w:val="single" w:sz="4" w:space="0" w:color="auto"/>
              <w:right w:val="single" w:sz="4" w:space="0" w:color="auto"/>
            </w:tcBorders>
            <w:vAlign w:val="center"/>
          </w:tcPr>
          <w:p>
            <w:pPr>
              <w:widowControl/>
              <w:jc w:val="center"/>
              <w:rPr>
                <w:rFonts w:ascii="宋体" w:eastAsia="宋体" w:hAnsi="宋体" w:cs="宋体" w:hint="eastAsia"/>
                <w:b/>
                <w:bCs/>
                <w:color w:val="auto"/>
                <w:kern w:val="2"/>
                <w:sz w:val="18"/>
                <w:szCs w:val="18"/>
                <w:highlight w:val="none"/>
                <w:lang w:val="en-US" w:eastAsia="zh-CN" w:bidi="ar-SA"/>
              </w:rPr>
            </w:pPr>
            <w:r>
              <w:rPr>
                <w:rFonts w:ascii="宋体" w:hAnsi="宋体" w:cs="宋体" w:hint="eastAsia"/>
                <w:b/>
                <w:bCs/>
                <w:color w:val="auto"/>
                <w:sz w:val="18"/>
                <w:szCs w:val="18"/>
                <w:highlight w:val="none"/>
              </w:rPr>
              <w:t>8</w:t>
            </w:r>
          </w:p>
        </w:tc>
        <w:tc>
          <w:tcPr>
            <w:tcW w:w="469" w:type="dxa"/>
            <w:vMerge/>
            <w:tcBorders>
              <w:left w:val="single" w:sz="4" w:space="0" w:color="auto"/>
              <w:bottom w:val="single" w:sz="4" w:space="0" w:color="auto"/>
              <w:right w:val="single" w:sz="4" w:space="0" w:color="auto"/>
            </w:tcBorders>
          </w:tcPr>
          <w:p>
            <w:pPr>
              <w:widowControl/>
              <w:jc w:val="center"/>
              <w:rPr>
                <w:rFonts w:ascii="宋体" w:hAnsi="宋体" w:cs="宋体"/>
                <w:color w:val="auto"/>
                <w:sz w:val="18"/>
                <w:szCs w:val="18"/>
                <w:highlight w:val="none"/>
              </w:rPr>
            </w:pPr>
          </w:p>
        </w:tc>
        <w:tc>
          <w:tcPr>
            <w:tcW w:w="375" w:type="dxa"/>
            <w:vMerge/>
            <w:tcBorders>
              <w:left w:val="single" w:sz="4" w:space="0" w:color="auto"/>
              <w:bottom w:val="single" w:sz="4" w:space="0" w:color="auto"/>
              <w:right w:val="single" w:sz="4" w:space="0" w:color="auto"/>
            </w:tcBorders>
            <w:vAlign w:val="center"/>
          </w:tcPr>
          <w:p>
            <w:pPr>
              <w:widowControl/>
              <w:jc w:val="center"/>
              <w:rPr>
                <w:rFonts w:ascii="宋体" w:hAnsi="宋体" w:cs="宋体"/>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公</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共</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平</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台</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课</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思想政治理论课程</w:t>
            </w:r>
          </w:p>
        </w:tc>
        <w:tc>
          <w:tcPr>
            <w:tcW w:w="855" w:type="dxa"/>
            <w:tcBorders>
              <w:top w:val="single" w:sz="4" w:space="0" w:color="auto"/>
              <w:left w:val="single" w:sz="4" w:space="0" w:color="auto"/>
              <w:right w:val="single" w:sz="4" w:space="0" w:color="auto"/>
            </w:tcBorders>
            <w:shd w:val="clear" w:color="auto" w:fill="FFFFFF"/>
            <w:vAlign w:val="center"/>
          </w:tcPr>
          <w:p>
            <w:pPr>
              <w:widowControl/>
              <w:jc w:val="center"/>
              <w:textAlignment w:val="center"/>
              <w:rPr>
                <w:rFonts w:ascii="宋体" w:eastAsia="宋体" w:hAnsi="宋体" w:cs="Times New Roman" w:hint="default"/>
                <w:bCs/>
                <w:color w:val="auto"/>
                <w:kern w:val="2"/>
                <w:sz w:val="18"/>
                <w:szCs w:val="18"/>
                <w:highlight w:val="none"/>
                <w:lang w:val="en-US" w:eastAsia="zh-CN" w:bidi="ar-SA"/>
              </w:rPr>
            </w:pPr>
            <w:r>
              <w:rPr>
                <w:rFonts w:ascii="宋体" w:hAnsi="宋体" w:hint="eastAsia"/>
                <w:bCs/>
                <w:color w:val="auto"/>
                <w:sz w:val="18"/>
                <w:szCs w:val="18"/>
                <w:highlight w:val="none"/>
              </w:rPr>
              <w:t>6210</w:t>
            </w:r>
            <w:r>
              <w:rPr>
                <w:rFonts w:ascii="宋体" w:hAnsi="宋体" w:hint="eastAsia"/>
                <w:bCs/>
                <w:color w:val="auto"/>
                <w:sz w:val="18"/>
                <w:szCs w:val="18"/>
                <w:highlight w:val="none"/>
                <w:lang w:val="en-US" w:eastAsia="zh-CN"/>
              </w:rPr>
              <w:t>01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思想道德修养与法律</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bCs/>
                <w:color w:val="auto"/>
                <w:sz w:val="18"/>
                <w:szCs w:val="18"/>
                <w:highlight w:val="none"/>
              </w:rPr>
              <w:t>2</w:t>
            </w:r>
            <w:r>
              <w:rPr>
                <w:rFonts w:ascii="宋体" w:hAnsi="宋体" w:hint="eastAsia"/>
                <w:bCs/>
                <w:color w:val="auto"/>
                <w:sz w:val="18"/>
                <w:szCs w:val="18"/>
                <w:highlight w:val="none"/>
                <w:lang w:val="en-US" w:eastAsia="zh-CN"/>
              </w:rPr>
              <w:t>.5</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bCs/>
                <w:color w:val="auto"/>
                <w:sz w:val="18"/>
                <w:szCs w:val="18"/>
                <w:highlight w:val="none"/>
                <w:lang w:val="en-US" w:eastAsia="zh-CN"/>
              </w:rPr>
              <w:t>40</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bCs/>
                <w:color w:val="auto"/>
                <w:sz w:val="18"/>
                <w:szCs w:val="18"/>
                <w:highlight w:val="none"/>
                <w:lang w:val="en-US" w:eastAsia="zh-CN"/>
              </w:rPr>
              <w:t>40</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widowControl/>
              <w:jc w:val="center"/>
              <w:textAlignment w:val="center"/>
              <w:rPr>
                <w:rFonts w:ascii="宋体" w:eastAsia="宋体" w:hAnsi="宋体" w:cs="Times New Roman" w:hint="default"/>
                <w:bCs/>
                <w:color w:val="auto"/>
                <w:kern w:val="2"/>
                <w:sz w:val="18"/>
                <w:szCs w:val="18"/>
                <w:highlight w:val="none"/>
                <w:lang w:val="en-US" w:eastAsia="zh-CN" w:bidi="ar-SA"/>
              </w:rPr>
            </w:pPr>
            <w:r>
              <w:rPr>
                <w:rFonts w:ascii="宋体" w:hAnsi="宋体" w:hint="eastAsia"/>
                <w:bCs/>
                <w:color w:val="auto"/>
                <w:sz w:val="18"/>
                <w:szCs w:val="18"/>
                <w:highlight w:val="none"/>
              </w:rPr>
              <w:t>62110</w:t>
            </w:r>
            <w:r>
              <w:rPr>
                <w:rFonts w:ascii="宋体" w:hAnsi="宋体" w:hint="eastAsia"/>
                <w:bCs/>
                <w:color w:val="auto"/>
                <w:sz w:val="18"/>
                <w:szCs w:val="18"/>
                <w:highlight w:val="none"/>
                <w:lang w:val="en-US" w:eastAsia="zh-CN"/>
              </w:rPr>
              <w:t>3</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马克思主义基本原理</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2</w:t>
            </w:r>
            <w:r>
              <w:rPr>
                <w:rFonts w:ascii="宋体" w:hAnsi="宋体" w:hint="eastAsia"/>
                <w:bCs/>
                <w:color w:val="auto"/>
                <w:sz w:val="18"/>
                <w:szCs w:val="18"/>
                <w:highlight w:val="none"/>
                <w:lang w:val="en-US" w:eastAsia="zh-CN"/>
              </w:rPr>
              <w:t>.5</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40</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40</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widowControl/>
              <w:jc w:val="center"/>
              <w:textAlignment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6210</w:t>
            </w:r>
            <w:r>
              <w:rPr>
                <w:rFonts w:ascii="宋体" w:hAnsi="宋体" w:hint="eastAsia"/>
                <w:color w:val="auto"/>
                <w:sz w:val="18"/>
                <w:szCs w:val="18"/>
                <w:highlight w:val="none"/>
                <w:lang w:val="en-US" w:eastAsia="zh-CN"/>
              </w:rPr>
              <w:t>02</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中国近现代史纲要</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widowControl/>
              <w:jc w:val="center"/>
              <w:textAlignment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6211</w:t>
            </w:r>
            <w:r>
              <w:rPr>
                <w:rFonts w:ascii="宋体" w:hAnsi="宋体" w:hint="eastAsia"/>
                <w:color w:val="auto"/>
                <w:sz w:val="18"/>
                <w:szCs w:val="18"/>
                <w:highlight w:val="none"/>
                <w:lang w:val="en-US" w:eastAsia="zh-CN"/>
              </w:rPr>
              <w:t>44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毛泽东思想和中国特色</w:t>
            </w:r>
          </w:p>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社会主义理论体系概论</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5</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80</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lang w:val="en-US" w:eastAsia="zh-CN"/>
              </w:rPr>
              <w:t>80</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jc w:val="center"/>
              <w:textAlignment w:val="center"/>
              <w:rPr>
                <w:rFonts w:ascii="宋体" w:eastAsia="宋体" w:hAnsi="宋体" w:cs="Times New Roman" w:hint="default"/>
                <w:bCs/>
                <w:color w:val="auto"/>
                <w:kern w:val="2"/>
                <w:sz w:val="18"/>
                <w:szCs w:val="18"/>
                <w:highlight w:val="none"/>
                <w:lang w:val="en-US" w:eastAsia="zh-CN" w:bidi="ar-SA"/>
              </w:rPr>
            </w:pPr>
            <w:r>
              <w:rPr>
                <w:rFonts w:ascii="宋体" w:hAnsi="宋体" w:hint="eastAsia"/>
                <w:bCs/>
                <w:color w:val="auto"/>
                <w:sz w:val="18"/>
                <w:szCs w:val="18"/>
                <w:highlight w:val="none"/>
              </w:rPr>
              <w:t>621051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形势与政策</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9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27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小计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14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224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22</w:t>
            </w:r>
            <w:r>
              <w:rPr>
                <w:rFonts w:ascii="宋体" w:hAnsi="宋体" w:hint="eastAsia"/>
                <w:bCs/>
                <w:color w:val="auto"/>
                <w:sz w:val="18"/>
                <w:szCs w:val="18"/>
                <w:highlight w:val="none"/>
              </w:rPr>
              <w:t>4</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Cs/>
                <w:color w:val="auto"/>
                <w:sz w:val="18"/>
                <w:szCs w:val="18"/>
                <w:highlight w:val="none"/>
                <w:lang w:val="en-US" w:eastAsia="zh-CN"/>
              </w:rPr>
            </w:pPr>
            <w:r>
              <w:rPr>
                <w:rFonts w:ascii="宋体" w:hAnsi="宋体" w:hint="eastAsia"/>
                <w:bCs/>
                <w:color w:val="auto"/>
                <w:sz w:val="18"/>
                <w:szCs w:val="18"/>
                <w:highlight w:val="none"/>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val="restart"/>
            <w:tcBorders>
              <w:top w:val="single" w:sz="4" w:space="0" w:color="auto"/>
              <w:left w:val="single" w:sz="4" w:space="0" w:color="auto"/>
              <w:right w:val="single" w:sz="4" w:space="0" w:color="auto"/>
            </w:tcBorders>
            <w:shd w:val="clear" w:color="auto" w:fill="auto"/>
            <w:vAlign w:val="center"/>
          </w:tcPr>
          <w:p>
            <w:pPr>
              <w:adjustRightInd w:val="0"/>
              <w:snapToGrid w:val="0"/>
              <w:jc w:val="center"/>
              <w:rPr>
                <w:rFonts w:ascii="宋体" w:hAnsi="宋体" w:cs="宋体"/>
                <w:bCs/>
                <w:color w:val="auto"/>
                <w:sz w:val="18"/>
                <w:szCs w:val="18"/>
              </w:rPr>
            </w:pPr>
            <w:r>
              <w:rPr>
                <w:rFonts w:ascii="宋体" w:hAnsi="宋体" w:cs="宋体" w:hint="eastAsia"/>
                <w:bCs/>
                <w:color w:val="auto"/>
                <w:sz w:val="18"/>
                <w:szCs w:val="18"/>
              </w:rPr>
              <w:t>基本素质</w:t>
            </w:r>
          </w:p>
          <w:p>
            <w:pPr>
              <w:adjustRightInd w:val="0"/>
              <w:snapToGrid w:val="0"/>
              <w:jc w:val="center"/>
              <w:rPr>
                <w:rFonts w:ascii="宋体" w:hAnsi="宋体" w:cs="宋体"/>
                <w:bCs/>
                <w:color w:val="auto"/>
                <w:sz w:val="18"/>
                <w:szCs w:val="18"/>
              </w:rPr>
            </w:pPr>
            <w:r>
              <w:rPr>
                <w:rFonts w:ascii="宋体" w:hAnsi="宋体" w:cs="宋体" w:hint="eastAsia"/>
                <w:bCs/>
                <w:color w:val="auto"/>
                <w:sz w:val="18"/>
                <w:szCs w:val="18"/>
              </w:rPr>
              <w:t>课程</w:t>
            </w:r>
          </w:p>
          <w:p>
            <w:pPr>
              <w:adjustRightInd w:val="0"/>
              <w:snapToGrid w:val="0"/>
              <w:jc w:val="center"/>
              <w:rPr>
                <w:rFonts w:ascii="宋体" w:eastAsia="宋体" w:hAnsi="宋体" w:hint="default"/>
                <w:bCs/>
                <w:color w:val="auto"/>
                <w:sz w:val="18"/>
                <w:szCs w:val="18"/>
                <w:highlight w:val="none"/>
                <w:lang w:val="en-US" w:eastAsia="zh-CN"/>
              </w:rPr>
            </w:pPr>
          </w:p>
        </w:tc>
        <w:tc>
          <w:tcPr>
            <w:tcW w:w="855" w:type="dxa"/>
            <w:tcBorders>
              <w:top w:val="single" w:sz="4" w:space="0" w:color="auto"/>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eastAsia="宋体" w:hAnsi="宋体" w:cs="Times New Roman" w:hint="default"/>
                <w:color w:val="auto"/>
                <w:kern w:val="2"/>
                <w:sz w:val="18"/>
                <w:szCs w:val="18"/>
                <w:highlight w:val="none"/>
                <w:lang w:val="en-US" w:eastAsia="zh-CN" w:bidi="ar-SA"/>
              </w:rPr>
            </w:pPr>
            <w:r>
              <w:rPr>
                <w:rFonts w:ascii="宋体" w:hAnsi="宋体" w:hint="eastAsia"/>
                <w:color w:val="auto"/>
                <w:sz w:val="18"/>
                <w:szCs w:val="18"/>
                <w:highlight w:val="none"/>
                <w:lang w:val="en-US" w:eastAsia="zh-CN"/>
              </w:rPr>
              <w:t>621138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大学体育一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hint="eastAsia"/>
                <w:color w:val="auto"/>
                <w:sz w:val="18"/>
                <w:szCs w:val="18"/>
                <w:highlight w:val="none"/>
                <w:lang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color w:val="auto"/>
                <w:sz w:val="18"/>
                <w:szCs w:val="18"/>
                <w:highlight w:val="none"/>
              </w:rPr>
            </w:pPr>
            <w:r>
              <w:rPr>
                <w:rFonts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621146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大学体育二</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hint="eastAsia"/>
                <w:color w:val="auto"/>
                <w:sz w:val="18"/>
                <w:szCs w:val="18"/>
                <w:highlight w:val="none"/>
                <w:lang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color w:val="auto"/>
                <w:sz w:val="18"/>
                <w:szCs w:val="18"/>
                <w:highlight w:val="none"/>
              </w:rPr>
            </w:pPr>
            <w:r>
              <w:rPr>
                <w:rFonts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624147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大学体育三</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hint="eastAsia"/>
                <w:color w:val="auto"/>
                <w:sz w:val="18"/>
                <w:szCs w:val="18"/>
                <w:highlight w:val="none"/>
                <w:lang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hint="eastAsia"/>
                <w:color w:val="auto"/>
                <w:sz w:val="18"/>
                <w:szCs w:val="18"/>
                <w:highlight w:val="none"/>
              </w:rPr>
            </w:pPr>
            <w:r>
              <w:rPr>
                <w:rFonts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621151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大学体育四</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hint="eastAsia"/>
                <w:color w:val="auto"/>
                <w:sz w:val="18"/>
                <w:szCs w:val="18"/>
                <w:highlight w:val="none"/>
                <w:lang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hint="eastAsia"/>
                <w:color w:val="auto"/>
                <w:sz w:val="18"/>
                <w:szCs w:val="18"/>
                <w:highlight w:val="none"/>
              </w:rPr>
            </w:pPr>
            <w:r>
              <w:rPr>
                <w:rFonts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621125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大学外语A一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color w:val="auto"/>
                <w:sz w:val="18"/>
                <w:szCs w:val="18"/>
                <w:highlight w:val="none"/>
              </w:rPr>
            </w:pPr>
            <w:r>
              <w:rPr>
                <w:rFonts w:hint="eastAsia"/>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621126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大学外语A二</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color w:val="auto"/>
                <w:sz w:val="18"/>
                <w:szCs w:val="18"/>
                <w:highlight w:val="none"/>
              </w:rPr>
            </w:pPr>
            <w:r>
              <w:rPr>
                <w:rFonts w:hint="eastAsia"/>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621148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大学外语A三</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hint="eastAsia"/>
                <w:color w:val="auto"/>
                <w:sz w:val="18"/>
                <w:szCs w:val="18"/>
                <w:highlight w:val="none"/>
              </w:rPr>
            </w:pPr>
            <w:r>
              <w:rPr>
                <w:rFonts w:hint="eastAsia"/>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621156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hint="eastAsia"/>
                <w:bCs/>
                <w:color w:val="auto"/>
                <w:sz w:val="18"/>
                <w:szCs w:val="18"/>
                <w:highlight w:val="none"/>
              </w:rPr>
            </w:pPr>
            <w:r>
              <w:rPr>
                <w:rFonts w:ascii="宋体" w:hAnsi="宋体" w:hint="eastAsia"/>
                <w:bCs/>
                <w:color w:val="auto"/>
                <w:sz w:val="18"/>
                <w:szCs w:val="18"/>
                <w:highlight w:val="none"/>
              </w:rPr>
              <w:t>大学外语A四</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r>
              <w:rPr>
                <w:rFonts w:ascii="宋体" w:hAnsi="宋体" w:hint="eastAsia"/>
                <w:color w:val="auto"/>
                <w:sz w:val="18"/>
                <w:szCs w:val="18"/>
                <w:highlight w:val="none"/>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hint="eastAsia"/>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r>
              <w:rPr>
                <w:rFonts w:ascii="宋体" w:hAnsi="宋体" w:hint="eastAsia"/>
                <w:color w:val="auto"/>
                <w:sz w:val="18"/>
                <w:szCs w:val="18"/>
                <w:highlight w:val="none"/>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hint="eastAsia"/>
                <w:color w:val="auto"/>
                <w:sz w:val="18"/>
                <w:szCs w:val="18"/>
                <w:highlight w:val="none"/>
              </w:rPr>
            </w:pPr>
            <w:r>
              <w:rPr>
                <w:rFonts w:hint="eastAsia"/>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color w:val="auto"/>
                <w:sz w:val="18"/>
                <w:szCs w:val="18"/>
              </w:rPr>
              <w:t>621122</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大学计算机基础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Calibri" w:eastAsia="宋体" w:hAnsi="Calibri" w:cs="Times New Roman" w:hint="eastAsia"/>
                <w:color w:val="auto"/>
                <w:kern w:val="2"/>
                <w:sz w:val="18"/>
                <w:szCs w:val="18"/>
                <w:highlight w:val="none"/>
                <w:lang w:val="en-US" w:eastAsia="zh-CN" w:bidi="ar-SA"/>
              </w:rPr>
            </w:pPr>
            <w:r>
              <w:rPr>
                <w:rFonts w:hint="eastAsia"/>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zh-CN" w:eastAsia="zh-CN"/>
              </w:rPr>
            </w:pPr>
            <w:r>
              <w:rPr>
                <w:rFonts w:ascii="宋体" w:hAnsi="宋体"/>
                <w:color w:val="auto"/>
                <w:sz w:val="18"/>
                <w:szCs w:val="18"/>
              </w:rPr>
              <w:t>621089</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军事理论</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bCs/>
                <w:color w:val="auto"/>
                <w:sz w:val="18"/>
                <w:szCs w:val="18"/>
                <w:highlight w:val="none"/>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bCs/>
                <w:color w:val="auto"/>
                <w:sz w:val="18"/>
                <w:szCs w:val="18"/>
                <w:highlight w:val="none"/>
              </w:rPr>
              <w:t>36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bCs/>
                <w:color w:val="auto"/>
                <w:sz w:val="18"/>
                <w:szCs w:val="18"/>
                <w:highlight w:val="none"/>
              </w:rPr>
              <w:t>36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Calibri" w:eastAsia="宋体" w:hAnsi="Calibri" w:cs="Times New Roman" w:hint="eastAsia"/>
                <w:color w:val="auto"/>
                <w:kern w:val="2"/>
                <w:sz w:val="18"/>
                <w:szCs w:val="18"/>
                <w:highlight w:val="none"/>
                <w:lang w:val="en-US" w:eastAsia="zh-CN" w:bidi="ar-SA"/>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color w:val="auto"/>
                <w:sz w:val="18"/>
                <w:szCs w:val="18"/>
              </w:rPr>
              <w:t>621154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大学语文与实用写</w:t>
            </w:r>
            <w:r>
              <w:rPr>
                <w:rFonts w:ascii="宋体" w:hAnsi="宋体" w:hint="eastAsia"/>
                <w:bCs/>
                <w:color w:val="auto"/>
                <w:sz w:val="18"/>
                <w:szCs w:val="18"/>
                <w:highlight w:val="none"/>
                <w:lang w:eastAsia="zh-CN"/>
              </w:rPr>
              <w:t>作</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jc w:val="center"/>
              <w:rPr>
                <w:rFonts w:ascii="Calibri" w:eastAsia="宋体" w:hAnsi="Calibri" w:cs="Times New Roman" w:hint="eastAsia"/>
                <w:color w:val="auto"/>
                <w:kern w:val="2"/>
                <w:sz w:val="18"/>
                <w:szCs w:val="18"/>
                <w:highlight w:val="none"/>
                <w:lang w:val="en-US" w:eastAsia="zh-CN" w:bidi="ar-SA"/>
              </w:rPr>
            </w:pPr>
            <w:r>
              <w:rPr>
                <w:rFonts w:hint="eastAsia"/>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color w:val="auto"/>
                <w:sz w:val="18"/>
                <w:szCs w:val="18"/>
              </w:rPr>
              <w:t>621124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职业发展与就业指导</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621109</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创新创业基础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lang w:val="en-US" w:eastAsia="zh-CN"/>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27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widowControl/>
              <w:adjustRightInd w:val="0"/>
              <w:snapToGrid w:val="0"/>
              <w:ind w:left="-110" w:right="-110" w:leftChars="-50" w:rightChars="-5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小计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25</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468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260</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208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9</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9</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Cs/>
                <w:color w:val="auto"/>
                <w:sz w:val="18"/>
                <w:szCs w:val="18"/>
                <w:highlight w:val="none"/>
                <w:lang w:val="en-US" w:eastAsia="zh-CN"/>
              </w:rPr>
            </w:pPr>
            <w:r>
              <w:rPr>
                <w:rFonts w:ascii="宋体" w:hAnsi="宋体" w:hint="eastAsia"/>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both"/>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 xml:space="preserve"> 7</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val="restart"/>
            <w:tcBorders>
              <w:left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文化素质课程</w:t>
            </w:r>
          </w:p>
        </w:tc>
        <w:tc>
          <w:tcPr>
            <w:tcW w:w="27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110" w:right="-110" w:leftChars="-50" w:rightChars="-50"/>
              <w:jc w:val="center"/>
              <w:rPr>
                <w:rFonts w:ascii="宋体" w:hAnsi="宋体"/>
                <w:bCs/>
                <w:color w:val="auto"/>
                <w:sz w:val="18"/>
                <w:szCs w:val="18"/>
                <w:highlight w:val="none"/>
              </w:rPr>
            </w:pPr>
            <w:r>
              <w:rPr>
                <w:rFonts w:ascii="宋体" w:hAnsi="宋体" w:hint="eastAsia"/>
                <w:bCs/>
                <w:color w:val="auto"/>
                <w:sz w:val="18"/>
                <w:szCs w:val="18"/>
                <w:highlight w:val="none"/>
              </w:rPr>
              <w:t>按</w:t>
            </w:r>
            <w:r>
              <w:rPr>
                <w:rFonts w:ascii="宋体" w:hAnsi="宋体" w:hint="eastAsia"/>
                <w:bCs/>
                <w:color w:val="auto"/>
                <w:sz w:val="18"/>
                <w:szCs w:val="18"/>
                <w:highlight w:val="none"/>
              </w:rPr>
              <w:t>“</w:t>
            </w:r>
            <w:r>
              <w:rPr>
                <w:rFonts w:ascii="宋体" w:hAnsi="宋体" w:hint="eastAsia"/>
                <w:bCs/>
                <w:color w:val="auto"/>
                <w:sz w:val="18"/>
                <w:szCs w:val="18"/>
                <w:highlight w:val="none"/>
              </w:rPr>
              <w:t>全校文化素质课程一览表</w:t>
            </w:r>
            <w:r>
              <w:rPr>
                <w:rFonts w:ascii="宋体" w:hAnsi="宋体" w:hint="eastAsia"/>
                <w:bCs/>
                <w:color w:val="auto"/>
                <w:sz w:val="18"/>
                <w:szCs w:val="18"/>
                <w:highlight w:val="none"/>
              </w:rPr>
              <w:t>”</w:t>
            </w:r>
          </w:p>
          <w:p>
            <w:pPr>
              <w:adjustRightInd w:val="0"/>
              <w:snapToGrid w:val="0"/>
              <w:ind w:left="-110" w:right="-110" w:leftChars="-50" w:rightChars="-50"/>
              <w:jc w:val="center"/>
              <w:rPr>
                <w:rFonts w:ascii="宋体" w:hAnsi="宋体"/>
                <w:bCs/>
                <w:color w:val="auto"/>
                <w:sz w:val="18"/>
                <w:szCs w:val="18"/>
                <w:highlight w:val="none"/>
              </w:rPr>
            </w:pPr>
            <w:r>
              <w:rPr>
                <w:rFonts w:ascii="宋体" w:hAnsi="宋体" w:hint="eastAsia"/>
                <w:bCs/>
                <w:color w:val="auto"/>
                <w:sz w:val="18"/>
                <w:szCs w:val="18"/>
                <w:highlight w:val="none"/>
              </w:rPr>
              <w:t>开设（学生选修8学分）</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128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128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p>
        </w:tc>
        <w:tc>
          <w:tcPr>
            <w:tcW w:w="27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110" w:right="-110" w:leftChars="-50" w:rightChars="-50"/>
              <w:jc w:val="center"/>
              <w:rPr>
                <w:rFonts w:ascii="宋体" w:hAnsi="宋体"/>
                <w:bCs/>
                <w:color w:val="auto"/>
                <w:sz w:val="18"/>
                <w:szCs w:val="18"/>
                <w:highlight w:val="none"/>
              </w:rPr>
            </w:pPr>
            <w:r>
              <w:rPr>
                <w:rFonts w:ascii="宋体" w:hAnsi="宋体" w:hint="eastAsia"/>
                <w:bCs/>
                <w:color w:val="auto"/>
                <w:sz w:val="18"/>
                <w:szCs w:val="18"/>
                <w:highlight w:val="none"/>
              </w:rPr>
              <w:t>小计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128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128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34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hAnsi="宋体"/>
                <w:b/>
                <w:bCs w:val="0"/>
                <w:color w:val="auto"/>
                <w:sz w:val="18"/>
                <w:szCs w:val="18"/>
                <w:highlight w:val="none"/>
              </w:rPr>
            </w:pPr>
            <w:r>
              <w:rPr>
                <w:rFonts w:ascii="宋体" w:hAnsi="宋体" w:hint="eastAsia"/>
                <w:b/>
                <w:bCs w:val="0"/>
                <w:color w:val="auto"/>
                <w:sz w:val="18"/>
                <w:szCs w:val="18"/>
                <w:highlight w:val="none"/>
              </w:rPr>
              <w:t>合计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47</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820</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612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208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pacing w:val="-20"/>
                <w:sz w:val="18"/>
                <w:szCs w:val="18"/>
                <w:highlight w:val="none"/>
                <w:lang w:val="en-US" w:eastAsia="zh-CN"/>
              </w:rPr>
            </w:pPr>
            <w:r>
              <w:rPr>
                <w:rFonts w:ascii="宋体" w:hAnsi="宋体" w:hint="eastAsia"/>
                <w:b/>
                <w:bCs w:val="0"/>
                <w:color w:val="auto"/>
                <w:spacing w:val="-20"/>
                <w:sz w:val="18"/>
                <w:szCs w:val="18"/>
                <w:highlight w:val="none"/>
                <w:lang w:val="en-US" w:eastAsia="zh-CN"/>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110" w:right="-110" w:leftChars="-50" w:rightChars="-5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7</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
                <w:bCs w:val="0"/>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
                <w:bCs w:val="0"/>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
                <w:bCs w:val="0"/>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val="restart"/>
            <w:tcBorders>
              <w:top w:val="single" w:sz="4" w:space="0" w:color="auto"/>
              <w:left w:val="single" w:sz="4" w:space="0" w:color="auto"/>
              <w:right w:val="single" w:sz="4" w:space="0" w:color="auto"/>
            </w:tcBorders>
            <w:shd w:val="clear" w:color="auto" w:fill="auto"/>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学</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科</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平</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台</w:t>
            </w:r>
          </w:p>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课</w:t>
            </w:r>
          </w:p>
        </w:tc>
        <w:tc>
          <w:tcPr>
            <w:tcW w:w="750" w:type="dxa"/>
            <w:vMerge w:val="restart"/>
            <w:tcBorders>
              <w:top w:val="single" w:sz="4" w:space="0" w:color="auto"/>
              <w:left w:val="single" w:sz="4" w:space="0" w:color="auto"/>
              <w:right w:val="single" w:sz="4" w:space="0" w:color="auto"/>
            </w:tcBorders>
            <w:shd w:val="clear" w:color="auto" w:fill="auto"/>
            <w:vAlign w:val="center"/>
          </w:tcPr>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大学科</w:t>
            </w:r>
          </w:p>
          <w:p>
            <w:pPr>
              <w:adjustRightInd w:val="0"/>
              <w:snapToGrid w:val="0"/>
              <w:jc w:val="center"/>
              <w:rPr>
                <w:color w:val="auto"/>
                <w:sz w:val="13"/>
                <w:szCs w:val="13"/>
                <w:highlight w:val="none"/>
              </w:rPr>
            </w:pPr>
            <w:r>
              <w:rPr>
                <w:rFonts w:ascii="宋体" w:hAnsi="宋体" w:cs="宋体" w:hint="eastAsia"/>
                <w:color w:val="auto"/>
                <w:kern w:val="0"/>
                <w:sz w:val="18"/>
                <w:szCs w:val="18"/>
                <w:highlight w:val="none"/>
              </w:rPr>
              <w:t>基础课程</w:t>
            </w:r>
          </w:p>
        </w:tc>
        <w:tc>
          <w:tcPr>
            <w:tcW w:w="855" w:type="dxa"/>
            <w:tcBorders>
              <w:top w:val="single" w:sz="4" w:space="0" w:color="auto"/>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524243</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both"/>
              <w:rPr>
                <w:rFonts w:ascii="宋体" w:eastAsia="宋体" w:hAnsi="宋体" w:cs="Times New Roman" w:hint="default"/>
                <w:bCs/>
                <w:color w:val="auto"/>
                <w:kern w:val="2"/>
                <w:sz w:val="18"/>
                <w:szCs w:val="18"/>
                <w:lang w:val="en-US" w:eastAsia="zh-CN" w:bidi="ar-SA"/>
              </w:rPr>
            </w:pPr>
            <w:r>
              <w:rPr>
                <w:rFonts w:eastAsia="宋体" w:cs="Times New Roman" w:hint="eastAsia"/>
                <w:bCs/>
                <w:color w:val="auto"/>
                <w:kern w:val="2"/>
                <w:sz w:val="18"/>
                <w:szCs w:val="18"/>
                <w:lang w:val="en-US" w:eastAsia="zh-CN" w:bidi="ar-SA"/>
              </w:rPr>
              <w:t xml:space="preserve">     中外电影史</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2"/>
                <w:sz w:val="18"/>
                <w:szCs w:val="18"/>
                <w:lang w:val="en-US" w:eastAsia="zh-CN" w:bidi="ar-SA"/>
              </w:rPr>
            </w:pPr>
            <w:r>
              <w:rPr>
                <w:rFonts w:cs="宋体" w:hint="eastAsia"/>
                <w:color w:val="auto"/>
                <w:sz w:val="18"/>
                <w:szCs w:val="18"/>
                <w:lang w:val="en-US" w:eastAsia="zh-CN"/>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2"/>
                <w:sz w:val="18"/>
                <w:szCs w:val="18"/>
                <w:lang w:val="en-US" w:eastAsia="zh-CN" w:bidi="ar-SA"/>
              </w:rPr>
            </w:pPr>
            <w:r>
              <w:rPr>
                <w:rFonts w:cs="宋体" w:hint="eastAsia"/>
                <w:color w:val="auto"/>
                <w:sz w:val="18"/>
                <w:szCs w:val="18"/>
                <w:lang w:val="en-US" w:eastAsia="zh-CN"/>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2"/>
                <w:sz w:val="18"/>
                <w:szCs w:val="18"/>
                <w:lang w:val="en-US" w:eastAsia="zh-CN" w:bidi="ar-SA"/>
              </w:rPr>
            </w:pPr>
            <w:r>
              <w:rPr>
                <w:rFonts w:cs="宋体" w:hint="eastAsia"/>
                <w:color w:val="auto"/>
                <w:sz w:val="18"/>
                <w:szCs w:val="18"/>
                <w:lang w:val="en-US" w:eastAsia="zh-CN"/>
              </w:rPr>
              <w:t>48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2"/>
                <w:sz w:val="18"/>
                <w:szCs w:val="18"/>
                <w:lang w:val="en-US" w:eastAsia="zh-CN" w:bidi="ar-SA"/>
              </w:rPr>
            </w:pPr>
            <w:r>
              <w:rPr>
                <w:rFonts w:ascii="宋体" w:hAnsi="宋体" w:cs="宋体" w:hint="eastAsia"/>
                <w:color w:val="auto"/>
                <w:sz w:val="18"/>
                <w:szCs w:val="18"/>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523111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宋体" w:hint="default"/>
                <w:color w:val="auto"/>
                <w:kern w:val="0"/>
                <w:sz w:val="18"/>
                <w:szCs w:val="18"/>
                <w:lang w:val="en-US" w:eastAsia="zh-CN" w:bidi="ar-SA"/>
              </w:rPr>
            </w:pPr>
            <w:r>
              <w:rPr>
                <w:rFonts w:eastAsia="宋体" w:cs="宋体" w:hint="eastAsia"/>
                <w:color w:val="auto"/>
                <w:kern w:val="0"/>
                <w:sz w:val="18"/>
                <w:szCs w:val="18"/>
                <w:lang w:val="en-US" w:eastAsia="zh-CN" w:bidi="ar-SA"/>
              </w:rPr>
              <w:t>中外戏剧史</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0"/>
                <w:sz w:val="18"/>
                <w:szCs w:val="18"/>
                <w:lang w:val="en-US" w:eastAsia="zh-CN" w:bidi="ar-SA"/>
              </w:rPr>
            </w:pPr>
            <w:r>
              <w:rPr>
                <w:rFonts w:eastAsia="宋体" w:cs="宋体" w:hint="eastAsia"/>
                <w:color w:val="auto"/>
                <w:kern w:val="0"/>
                <w:sz w:val="18"/>
                <w:szCs w:val="18"/>
                <w:lang w:val="en-US" w:eastAsia="zh-CN" w:bidi="ar-SA"/>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r>
              <w:rPr>
                <w:rFonts w:eastAsia="宋体" w:cs="宋体" w:hint="eastAsia"/>
                <w:color w:val="auto"/>
                <w:sz w:val="18"/>
                <w:szCs w:val="18"/>
                <w:lang w:val="en-US" w:eastAsia="zh-CN"/>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r>
              <w:rPr>
                <w:rFonts w:eastAsia="宋体" w:hint="eastAsia"/>
                <w:bCs/>
                <w:color w:val="auto"/>
                <w:sz w:val="18"/>
                <w:szCs w:val="18"/>
                <w:lang w:val="en-US" w:eastAsia="zh-CN"/>
              </w:rPr>
              <w:t>48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宋体" w:hint="eastAsia"/>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cs="宋体" w:hint="eastAsia"/>
                <w:color w:val="auto"/>
                <w:sz w:val="18"/>
                <w:szCs w:val="18"/>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523302</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0"/>
                <w:sz w:val="18"/>
                <w:szCs w:val="18"/>
                <w:lang w:val="en-US" w:eastAsia="zh-CN" w:bidi="ar-SA"/>
              </w:rPr>
            </w:pPr>
            <w:r>
              <w:rPr>
                <w:rFonts w:eastAsia="宋体" w:cs="宋体" w:hint="eastAsia"/>
                <w:color w:val="auto"/>
                <w:kern w:val="0"/>
                <w:sz w:val="18"/>
                <w:szCs w:val="18"/>
                <w:lang w:val="en-US" w:eastAsia="zh-CN" w:bidi="ar-SA"/>
              </w:rPr>
              <w:t>艺术概论</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default"/>
                <w:color w:val="auto"/>
                <w:kern w:val="0"/>
                <w:sz w:val="18"/>
                <w:szCs w:val="18"/>
                <w:lang w:val="en-US" w:eastAsia="zh-CN" w:bidi="ar-SA"/>
              </w:rPr>
            </w:pPr>
            <w:r>
              <w:rPr>
                <w:rFonts w:ascii="宋体" w:hAnsi="宋体" w:cs="宋体" w:hint="eastAsia"/>
                <w:color w:val="auto"/>
                <w:kern w:val="0"/>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r>
              <w:rPr>
                <w:rFonts w:ascii="宋体" w:eastAsia="宋体" w:hAnsi="宋体" w:cs="宋体" w:hint="eastAsia"/>
                <w:color w:val="auto"/>
                <w:kern w:val="0"/>
                <w:sz w:val="18"/>
                <w:szCs w:val="18"/>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r>
              <w:rPr>
                <w:rFonts w:ascii="宋体" w:hAnsi="宋体" w:cs="宋体" w:hint="eastAsia"/>
                <w:color w:val="auto"/>
                <w:kern w:val="0"/>
                <w:sz w:val="18"/>
                <w:szCs w:val="18"/>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522105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宋体" w:hint="eastAsia"/>
                <w:color w:val="auto"/>
                <w:kern w:val="0"/>
                <w:sz w:val="18"/>
                <w:szCs w:val="18"/>
                <w:lang w:val="en-US" w:eastAsia="zh-CN" w:bidi="ar-SA"/>
              </w:rPr>
            </w:pPr>
            <w:r>
              <w:rPr>
                <w:rFonts w:eastAsia="宋体" w:cs="宋体" w:hint="eastAsia"/>
                <w:color w:val="auto"/>
                <w:kern w:val="0"/>
                <w:sz w:val="18"/>
                <w:szCs w:val="18"/>
                <w:lang w:val="en-US" w:eastAsia="zh-CN" w:bidi="ar-SA"/>
              </w:rPr>
              <w:t>中外文学史</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cs="宋体" w:hint="eastAsia"/>
                <w:color w:val="auto"/>
                <w:kern w:val="0"/>
                <w:sz w:val="18"/>
                <w:szCs w:val="18"/>
                <w:lang w:val="en-US" w:eastAsia="zh-CN" w:bidi="ar-SA"/>
              </w:rPr>
              <w:t>48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宋体" w:hint="eastAsia"/>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522035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576" w:firstLineChars="320"/>
              <w:jc w:val="both"/>
              <w:rPr>
                <w:rFonts w:ascii="宋体" w:eastAsia="宋体" w:hAnsi="宋体" w:cs="宋体" w:hint="eastAsia"/>
                <w:color w:val="auto"/>
                <w:kern w:val="0"/>
                <w:sz w:val="18"/>
                <w:szCs w:val="18"/>
                <w:lang w:val="en-US" w:eastAsia="zh-CN" w:bidi="ar-SA"/>
              </w:rPr>
            </w:pPr>
            <w:r>
              <w:rPr>
                <w:rFonts w:eastAsia="宋体" w:cs="Times New Roman" w:hint="eastAsia"/>
                <w:color w:val="auto"/>
                <w:kern w:val="2"/>
                <w:sz w:val="18"/>
                <w:szCs w:val="18"/>
                <w:highlight w:val="none"/>
                <w:lang w:val="en-US" w:eastAsia="zh-CN" w:bidi="ar-SA"/>
              </w:rPr>
              <w:t>影片赏析</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48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宋体" w:hint="eastAsia"/>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cs="宋体" w:hint="eastAsia"/>
                <w:color w:val="auto"/>
                <w:sz w:val="18"/>
                <w:szCs w:val="18"/>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522113</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宋体" w:hint="eastAsia"/>
                <w:color w:val="auto"/>
                <w:kern w:val="0"/>
                <w:sz w:val="18"/>
                <w:szCs w:val="18"/>
                <w:lang w:val="en-US" w:eastAsia="zh-CN" w:bidi="ar-SA"/>
              </w:rPr>
            </w:pPr>
            <w:r>
              <w:rPr>
                <w:rFonts w:eastAsia="宋体" w:cs="宋体" w:hint="eastAsia"/>
                <w:color w:val="auto"/>
                <w:kern w:val="0"/>
                <w:sz w:val="18"/>
                <w:szCs w:val="18"/>
                <w:lang w:val="en-US" w:eastAsia="zh-CN" w:bidi="ar-SA"/>
              </w:rPr>
              <w:t>观众心理学</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宋体" w:hint="eastAsia"/>
                <w:color w:val="auto"/>
                <w:kern w:val="0"/>
                <w:sz w:val="18"/>
                <w:szCs w:val="18"/>
                <w:lang w:val="en-US" w:eastAsia="zh-CN" w:bidi="ar-SA"/>
              </w:rPr>
            </w:pPr>
            <w:r>
              <w:rPr>
                <w:rFonts w:cs="宋体" w:hint="eastAsia"/>
                <w:color w:val="auto"/>
                <w:kern w:val="0"/>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hint="eastAsia"/>
                <w:bCs/>
                <w:color w:val="auto"/>
                <w:sz w:val="18"/>
                <w:szCs w:val="18"/>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eastAsia"/>
                <w:color w:val="auto"/>
                <w:kern w:val="0"/>
                <w:sz w:val="18"/>
                <w:szCs w:val="18"/>
                <w:lang w:val="en-US" w:eastAsia="zh-CN" w:bidi="ar-SA"/>
              </w:rPr>
            </w:pPr>
            <w:r>
              <w:rPr>
                <w:rFonts w:cs="宋体" w:hint="eastAsia"/>
                <w:color w:val="auto"/>
                <w:sz w:val="18"/>
                <w:szCs w:val="18"/>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hint="default"/>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宋体"/>
                <w:color w:val="auto"/>
                <w:kern w:val="0"/>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cs="Times New Roman" w:hint="eastAsia"/>
                <w:color w:val="auto"/>
                <w:kern w:val="2"/>
                <w:sz w:val="18"/>
                <w:szCs w:val="18"/>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宋体" w:hint="eastAsia"/>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cs="宋体" w:hint="eastAsia"/>
                <w:color w:val="auto"/>
                <w:sz w:val="18"/>
                <w:szCs w:val="18"/>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bottom w:val="single" w:sz="4" w:space="0" w:color="auto"/>
              <w:right w:val="single" w:sz="4" w:space="0" w:color="auto"/>
            </w:tcBorders>
            <w:shd w:val="clear" w:color="auto" w:fill="auto"/>
            <w:vAlign w:val="center"/>
          </w:tcPr>
          <w:p>
            <w:pPr>
              <w:widowControl/>
              <w:jc w:val="center"/>
              <w:rPr>
                <w:rFonts w:ascii="宋体" w:hAnsi="宋体"/>
                <w:bCs/>
                <w:color w:val="auto"/>
                <w:sz w:val="18"/>
                <w:szCs w:val="18"/>
                <w:highlight w:val="none"/>
              </w:rPr>
            </w:pPr>
          </w:p>
        </w:tc>
        <w:tc>
          <w:tcPr>
            <w:tcW w:w="34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
                <w:bCs/>
                <w:color w:val="auto"/>
                <w:sz w:val="18"/>
                <w:szCs w:val="18"/>
                <w:highlight w:val="none"/>
              </w:rPr>
            </w:pPr>
            <w:r>
              <w:rPr>
                <w:rFonts w:ascii="宋体" w:hAnsi="宋体" w:hint="eastAsia"/>
                <w:b/>
                <w:bCs/>
                <w:color w:val="auto"/>
                <w:sz w:val="18"/>
                <w:szCs w:val="18"/>
                <w:highlight w:val="none"/>
              </w:rPr>
              <w:t>合计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r>
              <w:rPr>
                <w:rFonts w:ascii="宋体" w:hAnsi="宋体" w:hint="eastAsia"/>
                <w:b/>
                <w:bCs/>
                <w:color w:val="auto"/>
                <w:sz w:val="18"/>
                <w:szCs w:val="18"/>
                <w:highlight w:val="none"/>
                <w:lang w:val="en-US" w:eastAsia="zh-CN"/>
              </w:rPr>
              <w:t>1</w:t>
            </w:r>
            <w:r>
              <w:rPr>
                <w:rFonts w:hint="eastAsia"/>
                <w:b/>
                <w:bCs/>
                <w:color w:val="auto"/>
                <w:sz w:val="18"/>
                <w:szCs w:val="18"/>
                <w:highlight w:val="none"/>
                <w:lang w:val="en-US" w:eastAsia="zh-CN"/>
              </w:rPr>
              <w:t>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
                <w:bCs/>
                <w:color w:val="auto"/>
                <w:kern w:val="2"/>
                <w:sz w:val="18"/>
                <w:szCs w:val="18"/>
                <w:highlight w:val="none"/>
                <w:lang w:val="en-US" w:eastAsia="zh-CN" w:bidi="ar-SA"/>
              </w:rPr>
            </w:pPr>
            <w:r>
              <w:rPr>
                <w:rFonts w:ascii="宋体" w:hAnsi="宋体" w:hint="eastAsia"/>
                <w:b/>
                <w:bCs/>
                <w:color w:val="auto"/>
                <w:sz w:val="18"/>
                <w:szCs w:val="18"/>
                <w:highlight w:val="none"/>
                <w:lang w:val="en-US" w:eastAsia="zh-CN"/>
              </w:rPr>
              <w:t>2</w:t>
            </w:r>
            <w:r>
              <w:rPr>
                <w:rFonts w:hint="eastAsia"/>
                <w:b/>
                <w:bCs/>
                <w:color w:val="auto"/>
                <w:sz w:val="18"/>
                <w:szCs w:val="18"/>
                <w:highlight w:val="none"/>
                <w:lang w:val="en-US" w:eastAsia="zh-CN"/>
              </w:rPr>
              <w:t>56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
                <w:bCs/>
                <w:color w:val="auto"/>
                <w:kern w:val="2"/>
                <w:sz w:val="18"/>
                <w:szCs w:val="18"/>
                <w:highlight w:val="none"/>
                <w:lang w:val="en-US" w:eastAsia="zh-CN" w:bidi="ar-SA"/>
              </w:rPr>
            </w:pPr>
            <w:r>
              <w:rPr>
                <w:rFonts w:ascii="宋体" w:hAnsi="宋体" w:hint="eastAsia"/>
                <w:b/>
                <w:bCs/>
                <w:color w:val="auto"/>
                <w:sz w:val="18"/>
                <w:szCs w:val="18"/>
                <w:highlight w:val="none"/>
                <w:lang w:val="en-US" w:eastAsia="zh-CN"/>
              </w:rPr>
              <w:t>2</w:t>
            </w:r>
            <w:r>
              <w:rPr>
                <w:rFonts w:hint="eastAsia"/>
                <w:b/>
                <w:bCs/>
                <w:color w:val="auto"/>
                <w:sz w:val="18"/>
                <w:szCs w:val="18"/>
                <w:highlight w:val="none"/>
                <w:lang w:val="en-US" w:eastAsia="zh-CN"/>
              </w:rPr>
              <w:t>56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b/>
                <w:bCs/>
                <w:color w:val="auto"/>
                <w:kern w:val="2"/>
                <w:sz w:val="18"/>
                <w:szCs w:val="18"/>
                <w:highlight w:val="none"/>
                <w:lang w:val="en-US" w:eastAsia="zh-CN" w:bidi="ar-SA"/>
              </w:rPr>
            </w:pPr>
            <w:r>
              <w:rPr>
                <w:rFonts w:eastAsia="宋体" w:cs="Times New Roman" w:hint="eastAsia"/>
                <w:b/>
                <w:bCs/>
                <w:color w:val="auto"/>
                <w:kern w:val="2"/>
                <w:sz w:val="18"/>
                <w:szCs w:val="18"/>
                <w:highlight w:val="none"/>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
                <w:bCs/>
                <w:color w:val="auto"/>
                <w:sz w:val="18"/>
                <w:szCs w:val="18"/>
                <w:highlight w:val="none"/>
                <w:lang w:val="en-US" w:eastAsia="zh-CN"/>
              </w:rPr>
            </w:pPr>
            <w:r>
              <w:rPr>
                <w:rFonts w:hint="eastAsia"/>
                <w:b/>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
                <w:bCs/>
                <w:color w:val="auto"/>
                <w:sz w:val="18"/>
                <w:szCs w:val="18"/>
                <w:highlight w:val="none"/>
                <w:lang w:val="en-US" w:eastAsia="zh-CN"/>
              </w:rPr>
            </w:pPr>
            <w:r>
              <w:rPr>
                <w:rFonts w:hint="eastAsia"/>
                <w:b/>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val="restart"/>
            <w:tcBorders>
              <w:top w:val="single" w:sz="4" w:space="0" w:color="auto"/>
              <w:left w:val="single" w:sz="4" w:space="0" w:color="auto"/>
              <w:right w:val="single" w:sz="4" w:space="0" w:color="auto"/>
            </w:tcBorders>
            <w:shd w:val="clear" w:color="auto" w:fill="auto"/>
            <w:vAlign w:val="center"/>
          </w:tcPr>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center"/>
              <w:rPr>
                <w:rFonts w:ascii="宋体" w:hAnsi="宋体" w:cs="宋体" w:hint="eastAsia"/>
                <w:color w:val="auto"/>
                <w:kern w:val="0"/>
                <w:sz w:val="18"/>
                <w:szCs w:val="18"/>
                <w:highlight w:val="none"/>
              </w:rPr>
            </w:pPr>
          </w:p>
          <w:p>
            <w:pPr>
              <w:adjustRightInd w:val="0"/>
              <w:snapToGrid w:val="0"/>
              <w:jc w:val="both"/>
              <w:rPr>
                <w:rFonts w:ascii="宋体" w:hAnsi="宋体" w:cs="宋体" w:hint="eastAsia"/>
                <w:color w:val="auto"/>
                <w:kern w:val="0"/>
                <w:sz w:val="18"/>
                <w:szCs w:val="18"/>
                <w:highlight w:val="none"/>
              </w:rPr>
            </w:pP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专</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业</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平</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台</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课</w:t>
            </w:r>
          </w:p>
        </w:tc>
        <w:tc>
          <w:tcPr>
            <w:tcW w:w="750" w:type="dxa"/>
            <w:vMerge w:val="restart"/>
            <w:tcBorders>
              <w:top w:val="single" w:sz="4" w:space="0" w:color="auto"/>
              <w:left w:val="single" w:sz="4" w:space="0" w:color="auto"/>
              <w:right w:val="single" w:sz="4" w:space="0" w:color="auto"/>
            </w:tcBorders>
            <w:shd w:val="clear" w:color="auto" w:fill="auto"/>
            <w:vAlign w:val="center"/>
          </w:tcPr>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both"/>
              <w:rPr>
                <w:rFonts w:ascii="宋体" w:eastAsia="宋体" w:hAnsi="宋体" w:cs="宋体" w:hint="eastAsia"/>
                <w:color w:val="auto"/>
                <w:kern w:val="0"/>
                <w:sz w:val="18"/>
                <w:szCs w:val="18"/>
                <w:highlight w:val="none"/>
                <w:lang w:eastAsia="zh-CN"/>
              </w:rPr>
            </w:pP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专业</w:t>
            </w:r>
          </w:p>
          <w:p>
            <w:pPr>
              <w:adjustRightInd w:val="0"/>
              <w:snapToGrid w:val="0"/>
              <w:jc w:val="both"/>
              <w:rPr>
                <w:rFonts w:ascii="宋体" w:hAnsi="宋体" w:cs="宋体" w:hint="eastAsia"/>
                <w:color w:val="auto"/>
                <w:kern w:val="0"/>
                <w:sz w:val="18"/>
                <w:szCs w:val="18"/>
                <w:highlight w:val="none"/>
              </w:rPr>
            </w:pPr>
            <w:r>
              <w:rPr>
                <w:rFonts w:ascii="宋体" w:hAnsi="宋体" w:cs="宋体" w:hint="eastAsia"/>
                <w:color w:val="auto"/>
                <w:kern w:val="0"/>
                <w:sz w:val="18"/>
                <w:szCs w:val="18"/>
                <w:highlight w:val="none"/>
              </w:rPr>
              <w:t>必修课</w:t>
            </w:r>
            <w:r>
              <w:rPr>
                <w:rFonts w:ascii="宋体" w:hAnsi="宋体" w:cs="宋体" w:hint="eastAsia"/>
                <w:color w:val="auto"/>
                <w:kern w:val="0"/>
                <w:sz w:val="18"/>
                <w:szCs w:val="18"/>
                <w:highlight w:val="none"/>
                <w:lang w:eastAsia="zh-CN"/>
              </w:rPr>
              <w:t>程</w:t>
            </w:r>
          </w:p>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524104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表演概论</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hint="eastAsia"/>
                <w:color w:val="auto"/>
                <w:sz w:val="18"/>
                <w:szCs w:val="18"/>
                <w:highlight w:val="none"/>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hint="eastAsia"/>
                <w:color w:val="auto"/>
                <w:sz w:val="18"/>
                <w:szCs w:val="18"/>
                <w:highlight w:val="none"/>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hint="eastAsia"/>
                <w:color w:val="auto"/>
                <w:sz w:val="18"/>
                <w:szCs w:val="18"/>
                <w:highlight w:val="none"/>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hint="eastAsia"/>
                <w:bCs/>
                <w:color w:val="auto"/>
                <w:sz w:val="18"/>
                <w:szCs w:val="18"/>
                <w:highlight w:val="none"/>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523324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eastAsia="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普通话语音</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adjustRightInd w:val="0"/>
              <w:snapToGrid w:val="0"/>
              <w:jc w:val="center"/>
              <w:rPr>
                <w:rFonts w:ascii="宋体" w:hAnsi="宋体" w:cs="宋体" w:hint="eastAsia"/>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523325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声乐基础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adjustRightInd w:val="0"/>
              <w:snapToGrid w:val="0"/>
              <w:jc w:val="center"/>
              <w:rPr>
                <w:rFonts w:ascii="宋体" w:hAnsi="宋体" w:cs="宋体" w:hint="eastAsia"/>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524095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芭蕾基本功训练</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80" w:firstLineChars="100"/>
              <w:jc w:val="both"/>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523212</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导演基础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523262</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cs="宋体" w:hint="eastAsia"/>
                <w:color w:val="auto"/>
                <w:sz w:val="18"/>
                <w:lang w:eastAsia="zh-CN"/>
              </w:rPr>
              <w:t>★</w:t>
            </w:r>
            <w:r>
              <w:rPr>
                <w:rFonts w:eastAsia="宋体" w:cs="Times New Roman" w:hint="eastAsia"/>
                <w:color w:val="auto"/>
                <w:kern w:val="2"/>
                <w:sz w:val="18"/>
                <w:szCs w:val="18"/>
                <w:lang w:val="en-US" w:eastAsia="zh-CN" w:bidi="ar-SA"/>
              </w:rPr>
              <w:t>表演（一）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48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523327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舞台发声</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hint="eastAsia"/>
                <w:bCs/>
                <w:color w:val="auto"/>
                <w:sz w:val="18"/>
                <w:szCs w:val="18"/>
                <w:lang w:val="en-US"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523328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乐理</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val="en-US"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523326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中国民族民间舞（一）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both"/>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hint="eastAsia"/>
                <w:bCs/>
                <w:color w:val="auto"/>
                <w:sz w:val="18"/>
                <w:szCs w:val="18"/>
                <w:lang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default"/>
                <w:color w:val="auto"/>
                <w:sz w:val="18"/>
                <w:szCs w:val="18"/>
                <w:highlight w:val="none"/>
                <w:lang w:val="en-US" w:eastAsia="zh-CN"/>
              </w:rPr>
            </w:pPr>
            <w:r>
              <w:rPr>
                <w:rFonts w:hint="eastAsia"/>
                <w:color w:val="auto"/>
                <w:sz w:val="18"/>
                <w:szCs w:val="18"/>
                <w:highlight w:val="none"/>
                <w:lang w:val="en-US" w:eastAsia="zh-CN"/>
              </w:rPr>
              <w:t>523445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eastAsia="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视唱练耳</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val="en-US"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523211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台词</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val="en-US"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val="en-US"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523329</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cs="宋体" w:hint="eastAsia"/>
                <w:color w:val="auto"/>
                <w:sz w:val="18"/>
                <w:lang w:eastAsia="zh-CN"/>
              </w:rPr>
              <w:t>★</w:t>
            </w:r>
            <w:r>
              <w:rPr>
                <w:rFonts w:eastAsia="宋体" w:cs="Times New Roman" w:hint="eastAsia"/>
                <w:bCs/>
                <w:color w:val="auto"/>
                <w:kern w:val="2"/>
                <w:sz w:val="18"/>
                <w:szCs w:val="18"/>
                <w:lang w:val="en-US" w:eastAsia="zh-CN" w:bidi="ar-SA"/>
              </w:rPr>
              <w:t>表演（二）</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hint="eastAsia"/>
                <w:color w:val="auto"/>
                <w:sz w:val="18"/>
                <w:szCs w:val="18"/>
                <w:lang w:val="en-US" w:eastAsia="zh-CN"/>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hint="eastAsia"/>
                <w:color w:val="auto"/>
                <w:sz w:val="18"/>
                <w:szCs w:val="18"/>
                <w:lang w:val="en-US" w:eastAsia="zh-CN"/>
              </w:rPr>
              <w:t>48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hint="eastAsia"/>
                <w:bCs/>
                <w:color w:val="auto"/>
                <w:sz w:val="18"/>
                <w:szCs w:val="18"/>
                <w:lang w:val="en-US"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524246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中国古典舞身韵</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eastAsia="宋体" w:hint="eastAsia"/>
                <w:bCs/>
                <w:color w:val="auto"/>
                <w:sz w:val="18"/>
                <w:szCs w:val="18"/>
                <w:highlight w:val="none"/>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524098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540" w:firstLineChars="300"/>
              <w:jc w:val="both"/>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钢琴基础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hint="eastAsia"/>
                <w:color w:val="auto"/>
                <w:sz w:val="18"/>
                <w:szCs w:val="18"/>
                <w:lang w:val="en-US" w:eastAsia="zh-CN"/>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val="en-US"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524257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中国民族民间舞（二）</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eastAsia="宋体" w:hint="eastAsia"/>
                <w:bCs/>
                <w:color w:val="auto"/>
                <w:sz w:val="18"/>
                <w:szCs w:val="18"/>
                <w:highlight w:val="none"/>
                <w:lang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524096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eastAsia="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语言技巧</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ascii="宋体" w:eastAsia="宋体" w:hAnsi="宋体" w:cs="宋体" w:hint="eastAsia"/>
                <w:i w:val="0"/>
                <w:color w:val="auto"/>
                <w:kern w:val="0"/>
                <w:sz w:val="18"/>
                <w:szCs w:val="18"/>
                <w:u w:val="none"/>
                <w:lang w:val="en-US" w:eastAsia="zh-CN" w:bidi="ar"/>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default"/>
                <w:color w:val="auto"/>
                <w:sz w:val="18"/>
                <w:szCs w:val="18"/>
                <w:highlight w:val="none"/>
                <w:lang w:val="en-US" w:eastAsia="zh-CN" w:bidi="zh-CN"/>
              </w:rPr>
            </w:pPr>
            <w:r>
              <w:rPr>
                <w:rFonts w:ascii="宋体" w:hAnsi="宋体" w:hint="eastAsia"/>
                <w:color w:val="auto"/>
                <w:sz w:val="18"/>
                <w:szCs w:val="18"/>
                <w:highlight w:val="none"/>
                <w:lang w:val="en-US" w:eastAsia="zh-CN"/>
              </w:rPr>
              <w:t>523330</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216" w:firstLineChars="120"/>
              <w:jc w:val="both"/>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表演大师作品分析</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ascii="宋体" w:hAnsi="宋体" w:hint="eastAsia"/>
                <w:color w:val="auto"/>
                <w:sz w:val="18"/>
                <w:szCs w:val="18"/>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ascii="宋体" w:hAnsi="宋体" w:hint="eastAsia"/>
                <w:color w:val="auto"/>
                <w:sz w:val="18"/>
                <w:szCs w:val="18"/>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ascii="宋体" w:hAnsi="宋体" w:hint="eastAsia"/>
                <w:color w:val="auto"/>
                <w:sz w:val="18"/>
                <w:szCs w:val="18"/>
                <w:lang w:val="en-US" w:eastAsia="zh-CN"/>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523331</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lang w:val="en-US" w:eastAsia="zh-CN" w:bidi="ar-SA"/>
              </w:rPr>
            </w:pPr>
            <w:r>
              <w:rPr>
                <w:rFonts w:eastAsia="宋体" w:cs="Times New Roman" w:hint="eastAsia"/>
                <w:bCs/>
                <w:color w:val="auto"/>
                <w:kern w:val="2"/>
                <w:sz w:val="18"/>
                <w:szCs w:val="18"/>
                <w:lang w:val="en-US" w:eastAsia="zh-CN" w:bidi="ar-SA"/>
              </w:rPr>
              <w:t>摄影摄像基础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3</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48</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eastAsia="宋体" w:cs="Times New Roman" w:hint="eastAsia"/>
                <w:color w:val="auto"/>
                <w:kern w:val="2"/>
                <w:sz w:val="18"/>
                <w:szCs w:val="18"/>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32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hint="eastAsia"/>
                <w:bCs/>
                <w:color w:val="auto"/>
                <w:sz w:val="18"/>
                <w:szCs w:val="18"/>
                <w:lang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523148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化妆与形象设计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eastAsia"/>
                <w:color w:val="auto"/>
                <w:kern w:val="2"/>
                <w:sz w:val="18"/>
                <w:szCs w:val="18"/>
                <w:lang w:val="en-US" w:eastAsia="zh-CN" w:bidi="ar-SA"/>
              </w:rPr>
            </w:pPr>
            <w:r>
              <w:rPr>
                <w:rFonts w:eastAsia="宋体" w:cs="宋体" w:hint="eastAsia"/>
                <w:i w:val="0"/>
                <w:color w:val="auto"/>
                <w:kern w:val="0"/>
                <w:sz w:val="18"/>
                <w:szCs w:val="18"/>
                <w:u w:val="none"/>
                <w:lang w:val="en-US" w:eastAsia="zh-CN" w:bidi="ar"/>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keepNext w:val="0"/>
              <w:keepLines w:val="0"/>
              <w:widowControl/>
              <w:suppressLineNumbers w:val="0"/>
              <w:jc w:val="center"/>
              <w:textAlignment w:val="center"/>
              <w:rPr>
                <w:rFonts w:ascii="宋体" w:eastAsia="宋体" w:hAnsi="宋体" w:cs="Times New Roman" w:hint="default"/>
                <w:color w:val="auto"/>
                <w:kern w:val="2"/>
                <w:sz w:val="18"/>
                <w:szCs w:val="18"/>
                <w:lang w:val="en-US" w:eastAsia="zh-CN" w:bidi="ar-SA"/>
              </w:rPr>
            </w:pPr>
            <w:r>
              <w:rPr>
                <w:rFonts w:eastAsia="宋体" w:cs="宋体" w:hint="eastAsia"/>
                <w:i w:val="0"/>
                <w:color w:val="auto"/>
                <w:kern w:val="0"/>
                <w:sz w:val="18"/>
                <w:szCs w:val="18"/>
                <w:u w:val="none"/>
                <w:lang w:val="en-US" w:eastAsia="zh-CN" w:bidi="ar"/>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524259</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cs="宋体" w:hint="eastAsia"/>
                <w:color w:val="auto"/>
                <w:sz w:val="18"/>
                <w:lang w:eastAsia="zh-CN"/>
              </w:rPr>
              <w:t>★</w:t>
            </w:r>
            <w:r>
              <w:rPr>
                <w:rFonts w:eastAsia="宋体" w:cs="Times New Roman" w:hint="eastAsia"/>
                <w:color w:val="auto"/>
                <w:kern w:val="2"/>
                <w:sz w:val="18"/>
                <w:szCs w:val="18"/>
                <w:highlight w:val="none"/>
                <w:lang w:val="en-US" w:eastAsia="zh-CN" w:bidi="ar-SA"/>
              </w:rPr>
              <w:t>表演（三）</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ascii="宋体" w:hAnsi="宋体" w:hint="eastAsia"/>
                <w:color w:val="auto"/>
                <w:sz w:val="18"/>
                <w:szCs w:val="18"/>
                <w:highlight w:val="none"/>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ascii="宋体" w:hAnsi="宋体" w:hint="eastAsia"/>
                <w:color w:val="auto"/>
                <w:sz w:val="18"/>
                <w:szCs w:val="18"/>
                <w:highlight w:val="none"/>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hint="eastAsia"/>
                <w:bCs/>
                <w:color w:val="auto"/>
                <w:sz w:val="18"/>
                <w:szCs w:val="18"/>
                <w:highlight w:val="none"/>
                <w:lang w:val="en-US" w:eastAsia="zh-CN"/>
              </w:rPr>
              <w:t>48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highlight w:val="none"/>
                <w:lang w:val="en-US" w:eastAsia="zh-CN" w:bidi="ar-SA"/>
              </w:rPr>
            </w:pPr>
            <w:r>
              <w:rPr>
                <w:rFonts w:ascii="宋体" w:hAnsi="宋体" w:cs="Times New Roman" w:hint="eastAsia"/>
                <w:color w:val="auto"/>
                <w:kern w:val="2"/>
                <w:sz w:val="18"/>
                <w:szCs w:val="18"/>
                <w:highlight w:val="none"/>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hint="eastAsia"/>
                <w:bCs/>
                <w:color w:val="auto"/>
                <w:sz w:val="18"/>
                <w:szCs w:val="18"/>
                <w:highlight w:val="none"/>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cs="宋体" w:hint="eastAsia"/>
                <w:color w:val="auto"/>
                <w:sz w:val="18"/>
                <w:szCs w:val="18"/>
                <w:highlight w:val="none"/>
                <w:lang w:val="en-US" w:eastAsia="zh-CN" w:bidi="zh-CN"/>
              </w:rPr>
            </w:pPr>
            <w:r>
              <w:rPr>
                <w:rFonts w:ascii="宋体" w:hAnsi="宋体" w:hint="eastAsia"/>
                <w:color w:val="auto"/>
                <w:sz w:val="18"/>
                <w:szCs w:val="18"/>
                <w:highlight w:val="none"/>
                <w:lang w:val="en-US" w:eastAsia="zh-CN"/>
              </w:rPr>
              <w:t>524258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戏剧影视文学（编剧）</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default"/>
                <w:bCs/>
                <w:color w:val="auto"/>
                <w:kern w:val="2"/>
                <w:sz w:val="18"/>
                <w:szCs w:val="18"/>
                <w:highlight w:val="none"/>
                <w:lang w:val="en-US" w:eastAsia="zh-CN" w:bidi="ar-SA"/>
              </w:rPr>
            </w:pPr>
            <w:r>
              <w:rPr>
                <w:rFonts w:ascii="宋体" w:eastAsia="宋体" w:hAnsi="宋体" w:hint="eastAsia"/>
                <w:bCs/>
                <w:color w:val="auto"/>
                <w:sz w:val="18"/>
                <w:szCs w:val="18"/>
                <w:highlight w:val="none"/>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default"/>
                <w:bCs/>
                <w:color w:val="auto"/>
                <w:kern w:val="2"/>
                <w:sz w:val="18"/>
                <w:szCs w:val="18"/>
                <w:highlight w:val="none"/>
                <w:lang w:val="en-US" w:eastAsia="zh-CN" w:bidi="ar-SA"/>
              </w:rPr>
            </w:pPr>
            <w:r>
              <w:rPr>
                <w:rFonts w:ascii="宋体" w:eastAsia="宋体" w:hAnsi="宋体" w:hint="eastAsia"/>
                <w:bCs/>
                <w:color w:val="auto"/>
                <w:sz w:val="18"/>
                <w:szCs w:val="18"/>
                <w:highlight w:val="none"/>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48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ascii="宋体" w:hAnsi="宋体" w:hint="eastAsia"/>
                <w:color w:val="auto"/>
                <w:sz w:val="18"/>
                <w:szCs w:val="18"/>
                <w:highlight w:val="none"/>
                <w:lang w:val="en-US" w:eastAsia="zh-CN"/>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eastAsia="宋体" w:hAnsi="宋体" w:hint="eastAsia"/>
                <w:color w:val="auto"/>
                <w:sz w:val="18"/>
                <w:szCs w:val="18"/>
                <w:highlight w:val="none"/>
                <w:lang w:eastAsia="zh-CN"/>
              </w:rPr>
            </w:pPr>
          </w:p>
        </w:tc>
        <w:tc>
          <w:tcPr>
            <w:tcW w:w="855" w:type="dxa"/>
            <w:tcBorders>
              <w:top w:val="single" w:sz="4" w:space="0" w:color="auto"/>
              <w:left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default"/>
                <w:color w:val="auto"/>
                <w:sz w:val="18"/>
                <w:szCs w:val="18"/>
                <w:highlight w:val="none"/>
                <w:lang w:val="en-US" w:eastAsia="zh-CN"/>
              </w:rPr>
            </w:pPr>
            <w:r>
              <w:rPr>
                <w:rFonts w:hint="eastAsia"/>
                <w:color w:val="auto"/>
                <w:sz w:val="18"/>
                <w:szCs w:val="18"/>
                <w:highlight w:val="none"/>
                <w:lang w:val="en-US" w:eastAsia="zh-CN"/>
              </w:rPr>
              <w:t>523457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cs="宋体" w:hint="eastAsia"/>
                <w:color w:val="auto"/>
                <w:sz w:val="18"/>
                <w:lang w:eastAsia="zh-CN"/>
              </w:rPr>
              <w:t>★</w:t>
            </w:r>
            <w:r>
              <w:rPr>
                <w:rFonts w:eastAsia="宋体" w:cs="Times New Roman" w:hint="eastAsia"/>
                <w:color w:val="auto"/>
                <w:kern w:val="2"/>
                <w:sz w:val="18"/>
                <w:szCs w:val="18"/>
                <w:highlight w:val="none"/>
                <w:lang w:val="en-US" w:eastAsia="zh-CN" w:bidi="ar-SA"/>
              </w:rPr>
              <w:t>表演（四）</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64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hint="eastAsia"/>
                <w:bCs/>
                <w:color w:val="auto"/>
                <w:sz w:val="18"/>
                <w:szCs w:val="18"/>
                <w:highlight w:val="none"/>
                <w:lang w:val="en-US" w:eastAsia="zh-CN"/>
              </w:rPr>
              <w:t>48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eastAsia="宋体" w:hAnsi="宋体" w:hint="eastAsia"/>
                <w:bCs/>
                <w:color w:val="auto"/>
                <w:sz w:val="18"/>
                <w:szCs w:val="18"/>
                <w:lang w:eastAsia="zh-CN"/>
              </w:rPr>
              <w:t>必</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hint="eastAsia"/>
                <w:bCs/>
                <w:color w:val="auto"/>
                <w:sz w:val="18"/>
                <w:szCs w:val="18"/>
                <w:highlight w:val="none"/>
                <w:lang w:eastAsia="zh-CN"/>
              </w:rPr>
              <w:t>考</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left w:val="single" w:sz="4" w:space="0" w:color="auto"/>
              <w:right w:val="single" w:sz="4" w:space="0" w:color="auto"/>
            </w:tcBorders>
            <w:shd w:val="clear" w:color="auto" w:fill="auto"/>
            <w:vAlign w:val="center"/>
          </w:tcPr>
          <w:p>
            <w:pPr>
              <w:adjustRightInd w:val="0"/>
              <w:snapToGrid w:val="0"/>
              <w:jc w:val="center"/>
              <w:rPr>
                <w:rFonts w:ascii="宋体" w:hAnsi="宋体"/>
                <w:color w:val="auto"/>
                <w:sz w:val="18"/>
                <w:szCs w:val="18"/>
                <w:highlight w:val="none"/>
              </w:rPr>
            </w:pPr>
          </w:p>
        </w:tc>
        <w:tc>
          <w:tcPr>
            <w:tcW w:w="855" w:type="dxa"/>
            <w:tcBorders>
              <w:left w:val="single" w:sz="4" w:space="0" w:color="auto"/>
              <w:bottom w:val="single" w:sz="4" w:space="0" w:color="auto"/>
              <w:right w:val="single" w:sz="4" w:space="0" w:color="auto"/>
            </w:tcBorders>
            <w:shd w:val="clear" w:color="auto" w:fill="FFFFFF"/>
            <w:vAlign w:val="center"/>
          </w:tcPr>
          <w:p>
            <w:pPr>
              <w:autoSpaceDN w:val="0"/>
              <w:jc w:val="center"/>
              <w:textAlignment w:val="center"/>
              <w:rPr>
                <w:rFonts w:ascii="宋体" w:hAnsi="宋体"/>
                <w:bCs/>
                <w:color w:val="auto"/>
                <w:sz w:val="18"/>
                <w:szCs w:val="18"/>
                <w:highlight w:val="none"/>
              </w:rPr>
            </w:pP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r>
              <w:rPr>
                <w:rFonts w:ascii="宋体" w:hAnsi="宋体" w:hint="eastAsia"/>
                <w:bCs/>
                <w:color w:val="auto"/>
                <w:sz w:val="18"/>
                <w:szCs w:val="18"/>
                <w:highlight w:val="none"/>
              </w:rPr>
              <w:t>小计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hint="eastAsia"/>
                <w:color w:val="auto"/>
                <w:sz w:val="18"/>
                <w:szCs w:val="18"/>
                <w:highlight w:val="none"/>
                <w:lang w:val="en-US" w:eastAsia="zh-CN"/>
              </w:rPr>
              <w:t>66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hint="eastAsia"/>
                <w:color w:val="auto"/>
                <w:sz w:val="18"/>
                <w:szCs w:val="18"/>
                <w:highlight w:val="none"/>
                <w:lang w:val="en-US" w:eastAsia="zh-CN"/>
              </w:rPr>
              <w:t>1056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hint="eastAsia"/>
                <w:color w:val="auto"/>
                <w:sz w:val="18"/>
                <w:szCs w:val="18"/>
                <w:highlight w:val="none"/>
                <w:lang w:val="en-US" w:eastAsia="zh-CN"/>
              </w:rPr>
              <w:t>432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624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13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cs="Times New Roman" w:hint="eastAsia"/>
                <w:color w:val="auto"/>
                <w:kern w:val="2"/>
                <w:sz w:val="18"/>
                <w:szCs w:val="18"/>
                <w:highlight w:val="none"/>
                <w:lang w:val="en-US" w:eastAsia="zh-CN" w:bidi="ar-SA"/>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cs="Times New Roman" w:hint="eastAsia"/>
                <w:color w:val="auto"/>
                <w:kern w:val="2"/>
                <w:sz w:val="18"/>
                <w:szCs w:val="18"/>
                <w:highlight w:val="none"/>
                <w:lang w:val="en-US" w:eastAsia="zh-CN" w:bidi="ar-SA"/>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bCs/>
                <w:color w:val="auto"/>
                <w:kern w:val="2"/>
                <w:sz w:val="18"/>
                <w:szCs w:val="18"/>
                <w:highlight w:val="none"/>
                <w:lang w:val="en-US" w:eastAsia="zh-CN" w:bidi="ar-SA"/>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adjustRightInd w:val="0"/>
              <w:snapToGrid w:val="0"/>
              <w:jc w:val="center"/>
              <w:rPr>
                <w:rFonts w:ascii="宋体" w:hAnsi="宋体" w:cs="宋体"/>
                <w:color w:val="auto"/>
                <w:sz w:val="18"/>
                <w:szCs w:val="18"/>
                <w:highlight w:val="none"/>
                <w:lang w:bidi="ar"/>
              </w:rPr>
            </w:pPr>
            <w:r>
              <w:rPr>
                <w:rFonts w:ascii="宋体" w:hAnsi="宋体" w:cs="宋体" w:hint="eastAsia"/>
                <w:color w:val="auto"/>
                <w:sz w:val="18"/>
                <w:szCs w:val="18"/>
                <w:highlight w:val="none"/>
                <w:lang w:bidi="ar"/>
              </w:rPr>
              <w:t>专业</w:t>
            </w:r>
          </w:p>
          <w:p>
            <w:pPr>
              <w:adjustRightInd w:val="0"/>
              <w:snapToGrid w:val="0"/>
              <w:jc w:val="center"/>
              <w:rPr>
                <w:rFonts w:ascii="宋体" w:eastAsia="宋体" w:hAnsi="宋体" w:hint="eastAsia"/>
                <w:color w:val="auto"/>
                <w:sz w:val="18"/>
                <w:szCs w:val="18"/>
                <w:highlight w:val="none"/>
                <w:lang w:eastAsia="zh-CN"/>
              </w:rPr>
            </w:pPr>
            <w:r>
              <w:rPr>
                <w:rFonts w:ascii="宋体" w:hAnsi="宋体" w:cs="宋体" w:hint="eastAsia"/>
                <w:color w:val="auto"/>
                <w:sz w:val="18"/>
                <w:szCs w:val="18"/>
                <w:highlight w:val="none"/>
                <w:lang w:bidi="ar"/>
              </w:rPr>
              <w:t>选修课</w:t>
            </w:r>
            <w:r>
              <w:rPr>
                <w:rFonts w:ascii="宋体" w:hAnsi="宋体" w:cs="宋体" w:hint="eastAsia"/>
                <w:color w:val="auto"/>
                <w:sz w:val="18"/>
                <w:szCs w:val="18"/>
                <w:highlight w:val="none"/>
                <w:lang w:eastAsia="zh-CN" w:bidi="ar"/>
              </w:rPr>
              <w:t>程</w:t>
            </w: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524209</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r>
              <w:rPr>
                <w:rFonts w:hint="eastAsia"/>
                <w:color w:val="auto"/>
                <w:sz w:val="18"/>
                <w:szCs w:val="18"/>
                <w:highlight w:val="none"/>
                <w:lang w:eastAsia="zh-CN"/>
              </w:rPr>
              <w:t>表演</w:t>
            </w:r>
            <w:r>
              <w:rPr>
                <w:rFonts w:ascii="宋体" w:hAnsi="宋体" w:hint="eastAsia"/>
                <w:color w:val="auto"/>
                <w:sz w:val="18"/>
                <w:szCs w:val="18"/>
                <w:highlight w:val="none"/>
              </w:rPr>
              <w:t>专业英语</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32</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80" w:firstLineChars="100"/>
              <w:jc w:val="both"/>
              <w:rPr>
                <w:rFonts w:ascii="宋体" w:eastAsia="宋体" w:hAnsi="宋体" w:hint="eastAsia"/>
                <w:color w:val="auto"/>
                <w:sz w:val="18"/>
                <w:szCs w:val="18"/>
                <w:highlight w:val="none"/>
                <w:lang w:val="en-US" w:eastAsia="zh-CN"/>
              </w:rPr>
            </w:pPr>
            <w:r>
              <w:rPr>
                <w:rFonts w:ascii="宋体" w:hAnsi="宋体"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523287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戏曲身段</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eastAsia="宋体" w:cs="Times New Roman" w:hint="eastAsia"/>
                <w:color w:val="auto"/>
                <w:kern w:val="2"/>
                <w:sz w:val="18"/>
                <w:szCs w:val="18"/>
                <w:highlight w:val="none"/>
                <w:lang w:val="en-US" w:eastAsia="zh-CN" w:bidi="ar-SA"/>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hint="eastAsia"/>
                <w:color w:val="auto"/>
                <w:sz w:val="18"/>
                <w:szCs w:val="18"/>
                <w:highlight w:val="none"/>
                <w:lang w:val="en-US" w:eastAsia="zh-CN"/>
              </w:rPr>
              <w:t>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hint="eastAsia"/>
                <w:color w:val="auto"/>
                <w:sz w:val="18"/>
                <w:szCs w:val="18"/>
                <w:highlight w:val="none"/>
                <w:lang w:val="en-US" w:eastAsia="zh-CN"/>
              </w:rPr>
              <w:t>24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highlight w:val="none"/>
                <w:lang w:val="en-US" w:eastAsia="zh-CN" w:bidi="ar-SA"/>
              </w:rPr>
            </w:pPr>
            <w:r>
              <w:rPr>
                <w:rFonts w:ascii="宋体" w:hAnsi="宋体"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524263</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演讲与口才</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s="Times New Roman" w:hint="eastAsia"/>
                <w:color w:val="auto"/>
                <w:kern w:val="2"/>
                <w:sz w:val="18"/>
                <w:szCs w:val="18"/>
                <w:highlight w:val="none"/>
                <w:lang w:val="en-US" w:eastAsia="zh-CN" w:bidi="ar-SA"/>
              </w:rPr>
            </w:pPr>
            <w:r>
              <w:rPr>
                <w:rFonts w:ascii="宋体" w:hAnsi="宋体" w:cs="Times New Roman" w:hint="eastAsia"/>
                <w:color w:val="auto"/>
                <w:kern w:val="2"/>
                <w:sz w:val="18"/>
                <w:szCs w:val="18"/>
                <w:highlight w:val="none"/>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524214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color w:val="auto"/>
                <w:kern w:val="2"/>
                <w:sz w:val="18"/>
                <w:szCs w:val="18"/>
                <w:lang w:val="en-US" w:eastAsia="zh-CN" w:bidi="ar-SA"/>
              </w:rPr>
            </w:pPr>
            <w:r>
              <w:rPr>
                <w:rFonts w:hint="eastAsia"/>
                <w:bCs/>
                <w:color w:val="auto"/>
                <w:sz w:val="18"/>
                <w:szCs w:val="18"/>
                <w:lang w:eastAsia="zh-CN"/>
              </w:rPr>
              <w:t>美术作品鉴赏</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r>
              <w:rPr>
                <w:rFonts w:eastAsia="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lang w:val="en-US" w:eastAsia="zh-CN" w:bidi="ar-SA"/>
              </w:rPr>
            </w:pPr>
            <w:r>
              <w:rPr>
                <w:rFonts w:ascii="宋体" w:hAnsi="宋体" w:hint="eastAsia"/>
                <w:bCs/>
                <w:color w:val="auto"/>
                <w:sz w:val="18"/>
                <w:szCs w:val="18"/>
                <w:lang w:eastAsia="zh-CN"/>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524264</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文化礼仪</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524265</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96" w:firstLineChars="220"/>
              <w:jc w:val="both"/>
              <w:rPr>
                <w:rFonts w:ascii="宋体" w:eastAsia="宋体" w:hAnsi="宋体" w:cs="Times New Roman" w:hint="eastAsia"/>
                <w:bCs/>
                <w:color w:val="auto"/>
                <w:kern w:val="2"/>
                <w:sz w:val="18"/>
                <w:szCs w:val="18"/>
                <w:lang w:val="en-US" w:eastAsia="zh-CN" w:bidi="ar-SA"/>
              </w:rPr>
            </w:pPr>
            <w:r>
              <w:rPr>
                <w:rFonts w:eastAsia="宋体" w:cs="Times New Roman" w:hint="eastAsia"/>
                <w:bCs/>
                <w:color w:val="auto"/>
                <w:kern w:val="2"/>
                <w:sz w:val="18"/>
                <w:szCs w:val="18"/>
                <w:lang w:val="en-US" w:eastAsia="zh-CN" w:bidi="ar-SA"/>
              </w:rPr>
              <w:t>非线性编辑</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24</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color w:val="auto"/>
                <w:sz w:val="18"/>
                <w:szCs w:val="18"/>
                <w:lang w:val="en-US" w:eastAsia="zh-CN"/>
              </w:rPr>
            </w:pPr>
            <w:r>
              <w:rPr>
                <w:rFonts w:ascii="宋体" w:hAnsi="宋体" w:hint="eastAsia"/>
                <w:color w:val="auto"/>
                <w:sz w:val="18"/>
                <w:szCs w:val="18"/>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524266</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hint="eastAsia"/>
                <w:bCs/>
                <w:color w:val="auto"/>
                <w:sz w:val="18"/>
                <w:szCs w:val="18"/>
                <w:lang w:eastAsia="zh-CN"/>
              </w:rPr>
            </w:pPr>
            <w:r>
              <w:rPr>
                <w:rFonts w:eastAsia="宋体" w:hint="eastAsia"/>
                <w:bCs/>
                <w:color w:val="auto"/>
                <w:sz w:val="18"/>
                <w:szCs w:val="18"/>
                <w:lang w:eastAsia="zh-CN"/>
              </w:rPr>
              <w:t>文学作品赏析</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8</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hAnsi="宋体" w:hint="eastAsia"/>
                <w:bCs/>
                <w:color w:val="auto"/>
                <w:sz w:val="18"/>
                <w:szCs w:val="18"/>
                <w:lang w:eastAsia="zh-CN"/>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524248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rPr>
              <w:t>文献检索</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firstLineChars="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firstLineChars="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highlight w:val="none"/>
                <w:lang w:val="en-US" w:eastAsia="zh-CN" w:bidi="ar-SA"/>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bCs/>
                <w:color w:val="auto"/>
                <w:kern w:val="2"/>
                <w:sz w:val="18"/>
                <w:szCs w:val="18"/>
                <w:highlight w:val="none"/>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523118</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小说播讲艺术</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24</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color w:val="auto"/>
                <w:kern w:val="2"/>
                <w:sz w:val="18"/>
                <w:szCs w:val="18"/>
                <w:lang w:val="en-US" w:eastAsia="zh-CN" w:bidi="ar-SA"/>
              </w:rPr>
            </w:pPr>
            <w:r>
              <w:rPr>
                <w:rFonts w:ascii="宋体" w:hAnsi="宋体" w:hint="eastAsia"/>
                <w:color w:val="auto"/>
                <w:sz w:val="18"/>
                <w:szCs w:val="18"/>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firstLineChars="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firstLineChars="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eastAsia"/>
                <w:color w:val="auto"/>
                <w:kern w:val="2"/>
                <w:sz w:val="18"/>
                <w:szCs w:val="18"/>
                <w:lang w:val="en-US" w:eastAsia="zh-CN" w:bidi="ar-SA"/>
              </w:rPr>
            </w:pPr>
            <w:r>
              <w:rPr>
                <w:rFonts w:ascii="宋体" w:hAnsi="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lang w:val="en-US" w:eastAsia="zh-CN" w:bidi="ar-SA"/>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524267</w:t>
            </w:r>
          </w:p>
        </w:tc>
        <w:tc>
          <w:tcPr>
            <w:tcW w:w="1881"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396" w:firstLineChars="220"/>
              <w:jc w:val="center"/>
              <w:rPr>
                <w:rFonts w:ascii="宋体" w:eastAsia="宋体" w:hAnsi="宋体" w:hint="eastAsia"/>
                <w:bCs/>
                <w:color w:val="auto"/>
                <w:sz w:val="18"/>
                <w:szCs w:val="18"/>
                <w:lang w:eastAsia="zh-CN"/>
              </w:rPr>
            </w:pPr>
            <w:r>
              <w:rPr>
                <w:rFonts w:eastAsia="宋体" w:hint="eastAsia"/>
                <w:bCs/>
                <w:color w:val="auto"/>
                <w:sz w:val="18"/>
                <w:szCs w:val="18"/>
                <w:lang w:eastAsia="zh-CN"/>
              </w:rPr>
              <w:t>灯光基础</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ascii="宋体" w:hAnsi="宋体" w:hint="eastAsia"/>
                <w:color w:val="auto"/>
                <w:sz w:val="18"/>
                <w:szCs w:val="18"/>
                <w:lang w:val="en-US" w:eastAsia="zh-CN"/>
              </w:rPr>
              <w:t>32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hint="eastAsia"/>
                <w:color w:val="auto"/>
                <w:sz w:val="18"/>
                <w:szCs w:val="18"/>
                <w:lang w:val="en-US" w:eastAsia="zh-CN"/>
              </w:rPr>
              <w:t>16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lang w:val="en-US" w:eastAsia="zh-CN"/>
              </w:rPr>
            </w:pPr>
            <w:r>
              <w:rPr>
                <w:rFonts w:hint="eastAsia"/>
                <w:color w:val="auto"/>
                <w:sz w:val="18"/>
                <w:szCs w:val="18"/>
                <w:lang w:val="en-US" w:eastAsia="zh-CN"/>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left="353" w:hanging="353" w:leftChars="0" w:hangingChars="196"/>
              <w:jc w:val="center"/>
              <w:rPr>
                <w:rFonts w:ascii="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hint="default"/>
                <w:color w:val="auto"/>
                <w:kern w:val="2"/>
                <w:sz w:val="18"/>
                <w:szCs w:val="18"/>
                <w:lang w:val="en-US" w:eastAsia="zh-CN" w:bidi="ar-SA"/>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cs="Times New Roman"/>
                <w:color w:val="auto"/>
                <w:kern w:val="2"/>
                <w:sz w:val="18"/>
                <w:szCs w:val="18"/>
                <w:lang w:val="en-US" w:eastAsia="zh-CN" w:bidi="ar-SA"/>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spacing w:after="0" w:line="240" w:lineRule="exact"/>
              <w:jc w:val="center"/>
              <w:rPr>
                <w:rFonts w:ascii="宋体" w:hAnsi="宋体" w:hint="eastAsia"/>
                <w:bCs/>
                <w:color w:val="auto"/>
                <w:sz w:val="18"/>
                <w:szCs w:val="18"/>
                <w:lang w:eastAsia="zh-CN"/>
              </w:rPr>
            </w:pPr>
            <w:r>
              <w:rPr>
                <w:rFonts w:ascii="宋体" w:hAnsi="宋体" w:hint="eastAsia"/>
                <w:bCs/>
                <w:color w:val="auto"/>
                <w:sz w:val="18"/>
                <w:szCs w:val="18"/>
                <w:lang w:eastAsia="zh-CN"/>
              </w:rPr>
              <w:t>选</w:t>
            </w: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eastAsia"/>
                <w:bCs/>
                <w:color w:val="auto"/>
                <w:sz w:val="18"/>
                <w:szCs w:val="18"/>
              </w:rPr>
            </w:pPr>
            <w:r>
              <w:rPr>
                <w:rFonts w:ascii="宋体" w:hAnsi="宋体" w:hint="eastAsia"/>
                <w:bCs/>
                <w:color w:val="auto"/>
                <w:sz w:val="18"/>
                <w:szCs w:val="18"/>
              </w:rPr>
              <w:t>查</w:t>
            </w: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750" w:type="dxa"/>
            <w:vMerge/>
            <w:tcBorders>
              <w:top w:val="single" w:sz="4" w:space="0" w:color="auto"/>
              <w:left w:val="single" w:sz="4" w:space="0" w:color="auto"/>
              <w:bottom w:val="single" w:sz="4" w:space="0" w:color="auto"/>
              <w:right w:val="single" w:sz="4" w:space="0" w:color="auto"/>
            </w:tcBorders>
            <w:shd w:val="clear" w:color="auto" w:fill="auto"/>
            <w:vAlign w:val="center"/>
          </w:tcPr>
          <w:p>
            <w:pPr>
              <w:widowControl/>
              <w:jc w:val="center"/>
              <w:rPr>
                <w:rFonts w:ascii="宋体" w:hAnsi="宋体"/>
                <w:color w:val="auto"/>
                <w:sz w:val="18"/>
                <w:szCs w:val="18"/>
                <w:highlight w:val="none"/>
              </w:rPr>
            </w:pPr>
          </w:p>
        </w:tc>
        <w:tc>
          <w:tcPr>
            <w:tcW w:w="27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eastAsia="宋体" w:hAnsi="宋体" w:hint="eastAsia"/>
                <w:color w:val="auto"/>
                <w:sz w:val="18"/>
                <w:szCs w:val="18"/>
                <w:highlight w:val="none"/>
                <w:lang w:eastAsia="zh-CN"/>
              </w:rPr>
            </w:pPr>
            <w:r>
              <w:rPr>
                <w:rFonts w:ascii="宋体" w:hAnsi="宋体" w:hint="eastAsia"/>
                <w:color w:val="auto"/>
                <w:sz w:val="18"/>
                <w:szCs w:val="18"/>
                <w:highlight w:val="none"/>
              </w:rPr>
              <w:t>小计</w:t>
            </w:r>
            <w:r>
              <w:rPr>
                <w:rFonts w:ascii="宋体" w:hAnsi="宋体" w:hint="eastAsia"/>
                <w:color w:val="auto"/>
                <w:sz w:val="18"/>
                <w:szCs w:val="18"/>
                <w:highlight w:val="none"/>
                <w:shd w:val="clear" w:color="auto" w:fill="auto"/>
                <w:lang w:eastAsia="zh-CN"/>
              </w:rPr>
              <w:t>（必须修满</w:t>
            </w:r>
            <w:r>
              <w:rPr>
                <w:rFonts w:ascii="宋体" w:hAnsi="宋体" w:hint="eastAsia"/>
                <w:color w:val="auto"/>
                <w:sz w:val="18"/>
                <w:szCs w:val="18"/>
                <w:highlight w:val="none"/>
                <w:shd w:val="clear" w:color="auto" w:fill="auto"/>
                <w:lang w:val="en-US" w:eastAsia="zh-CN"/>
              </w:rPr>
              <w:t>5学分</w:t>
            </w:r>
            <w:r>
              <w:rPr>
                <w:rFonts w:ascii="宋体" w:hAnsi="宋体" w:hint="eastAsia"/>
                <w:color w:val="auto"/>
                <w:sz w:val="18"/>
                <w:szCs w:val="18"/>
                <w:highlight w:val="none"/>
                <w:shd w:val="clear" w:color="auto" w:fill="auto"/>
                <w:lang w:eastAsia="zh-CN"/>
              </w:rPr>
              <w:t>）</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5</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80</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64</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16</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hAnsi="宋体"/>
                <w:color w:val="auto"/>
                <w:sz w:val="18"/>
                <w:szCs w:val="18"/>
                <w:highlight w:val="none"/>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eastAsia="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eastAsia="宋体" w:hAnsi="宋体" w:hint="default"/>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eastAsia"/>
                <w:bCs/>
                <w:color w:val="auto"/>
                <w:sz w:val="18"/>
                <w:szCs w:val="18"/>
                <w:highlight w:val="none"/>
                <w:lang w:val="en-US"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615" w:type="dxa"/>
            <w:vMerge/>
            <w:tcBorders>
              <w:left w:val="single" w:sz="4" w:space="0" w:color="auto"/>
              <w:right w:val="single" w:sz="4" w:space="0" w:color="auto"/>
            </w:tcBorders>
            <w:shd w:val="clear" w:color="auto" w:fill="auto"/>
            <w:vAlign w:val="center"/>
          </w:tcPr>
          <w:p>
            <w:pPr>
              <w:widowControl/>
              <w:jc w:val="center"/>
              <w:rPr>
                <w:rFonts w:ascii="宋体" w:hAnsi="宋体" w:cs="宋体"/>
                <w:color w:val="auto"/>
                <w:kern w:val="0"/>
                <w:sz w:val="18"/>
                <w:szCs w:val="18"/>
                <w:highlight w:val="none"/>
              </w:rPr>
            </w:pPr>
          </w:p>
        </w:tc>
        <w:tc>
          <w:tcPr>
            <w:tcW w:w="34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hAnsi="宋体"/>
                <w:b/>
                <w:bCs/>
                <w:color w:val="auto"/>
                <w:sz w:val="18"/>
                <w:szCs w:val="18"/>
                <w:highlight w:val="none"/>
              </w:rPr>
            </w:pPr>
            <w:r>
              <w:rPr>
                <w:rFonts w:ascii="宋体" w:hAnsi="宋体" w:hint="eastAsia"/>
                <w:b/>
                <w:bCs/>
                <w:color w:val="auto"/>
                <w:sz w:val="18"/>
                <w:szCs w:val="18"/>
                <w:highlight w:val="none"/>
              </w:rPr>
              <w:t>合计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
                <w:bCs/>
                <w:color w:val="auto"/>
                <w:sz w:val="18"/>
                <w:szCs w:val="18"/>
                <w:highlight w:val="none"/>
                <w:lang w:val="en-US" w:eastAsia="zh-CN"/>
              </w:rPr>
            </w:pPr>
            <w:r>
              <w:rPr>
                <w:rFonts w:hint="eastAsia"/>
                <w:b/>
                <w:bCs/>
                <w:color w:val="auto"/>
                <w:sz w:val="18"/>
                <w:szCs w:val="18"/>
                <w:highlight w:val="none"/>
                <w:lang w:val="en-US" w:eastAsia="zh-CN"/>
              </w:rPr>
              <w:t>71</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
                <w:bCs/>
                <w:color w:val="auto"/>
                <w:sz w:val="18"/>
                <w:szCs w:val="18"/>
                <w:highlight w:val="none"/>
                <w:lang w:val="en-US" w:eastAsia="zh-CN"/>
              </w:rPr>
            </w:pPr>
            <w:r>
              <w:rPr>
                <w:rFonts w:hint="eastAsia"/>
                <w:b/>
                <w:bCs/>
                <w:color w:val="auto"/>
                <w:sz w:val="18"/>
                <w:szCs w:val="18"/>
                <w:highlight w:val="none"/>
                <w:lang w:val="en-US" w:eastAsia="zh-CN"/>
              </w:rPr>
              <w:t>1136</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
                <w:bCs/>
                <w:color w:val="auto"/>
                <w:sz w:val="18"/>
                <w:szCs w:val="18"/>
                <w:highlight w:val="none"/>
                <w:lang w:val="en-US" w:eastAsia="zh-CN"/>
              </w:rPr>
            </w:pPr>
            <w:r>
              <w:rPr>
                <w:rFonts w:hint="eastAsia"/>
                <w:b/>
                <w:bCs/>
                <w:color w:val="auto"/>
                <w:sz w:val="18"/>
                <w:szCs w:val="18"/>
                <w:highlight w:val="none"/>
                <w:lang w:val="en-US" w:eastAsia="zh-CN"/>
              </w:rPr>
              <w:t>496</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
                <w:bCs/>
                <w:color w:val="auto"/>
                <w:sz w:val="18"/>
                <w:szCs w:val="18"/>
                <w:highlight w:val="none"/>
                <w:lang w:val="en-US" w:eastAsia="zh-CN"/>
              </w:rPr>
            </w:pPr>
            <w:r>
              <w:rPr>
                <w:rFonts w:hint="eastAsia"/>
                <w:b/>
                <w:bCs/>
                <w:color w:val="auto"/>
                <w:sz w:val="18"/>
                <w:szCs w:val="18"/>
                <w:highlight w:val="none"/>
                <w:lang w:val="en-US" w:eastAsia="zh-CN"/>
              </w:rPr>
              <w:t>640</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13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12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14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1</w:t>
            </w:r>
            <w:r>
              <w:rPr>
                <w:rFonts w:hint="eastAsia"/>
                <w:b/>
                <w:bCs/>
                <w:color w:val="auto"/>
                <w:sz w:val="18"/>
                <w:szCs w:val="18"/>
                <w:highlight w:val="none"/>
                <w:lang w:val="en-US" w:eastAsia="zh-CN"/>
              </w:rPr>
              <w:t>2</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393" w:type="dxa"/>
          <w:jc w:val="center"/>
          <w:tblLayout w:type="fixed"/>
          <w:tblCellMar>
            <w:top w:w="0" w:type="dxa"/>
            <w:left w:w="0" w:type="dxa"/>
            <w:bottom w:w="0" w:type="dxa"/>
            <w:right w:w="0" w:type="dxa"/>
          </w:tblCellMar>
          <w:tblLook w:val="0000"/>
        </w:tblPrEx>
        <w:trPr>
          <w:trHeight w:val="340"/>
          <w:jc w:val="center"/>
        </w:trPr>
        <w:tc>
          <w:tcPr>
            <w:tcW w:w="4101" w:type="dxa"/>
            <w:gridSpan w:val="4"/>
            <w:tcBorders>
              <w:left w:val="single" w:sz="4" w:space="0" w:color="auto"/>
              <w:bottom w:val="single" w:sz="4" w:space="0" w:color="auto"/>
              <w:right w:val="single" w:sz="4" w:space="0" w:color="auto"/>
            </w:tcBorders>
            <w:shd w:val="clear" w:color="auto" w:fill="FFFFFF"/>
            <w:vAlign w:val="center"/>
          </w:tcPr>
          <w:p>
            <w:pPr>
              <w:adjustRightInd w:val="0"/>
              <w:snapToGrid w:val="0"/>
              <w:ind w:firstLine="105"/>
              <w:jc w:val="center"/>
              <w:rPr>
                <w:rFonts w:ascii="宋体" w:eastAsia="宋体" w:hAnsi="宋体" w:hint="eastAsia"/>
                <w:b/>
                <w:bCs/>
                <w:color w:val="auto"/>
                <w:sz w:val="18"/>
                <w:szCs w:val="18"/>
                <w:highlight w:val="none"/>
                <w:lang w:eastAsia="zh-CN"/>
              </w:rPr>
            </w:pPr>
            <w:r>
              <w:rPr>
                <w:rFonts w:ascii="宋体" w:hAnsi="宋体" w:hint="eastAsia"/>
                <w:b/>
                <w:bCs/>
                <w:color w:val="auto"/>
                <w:sz w:val="18"/>
                <w:szCs w:val="18"/>
                <w:highlight w:val="none"/>
                <w:lang w:eastAsia="zh-CN"/>
              </w:rPr>
              <w:t>总计</w:t>
            </w:r>
          </w:p>
        </w:tc>
        <w:tc>
          <w:tcPr>
            <w:tcW w:w="320"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hint="default"/>
                <w:b/>
                <w:bCs/>
                <w:color w:val="auto"/>
                <w:sz w:val="18"/>
                <w:szCs w:val="18"/>
                <w:highlight w:val="none"/>
                <w:lang w:val="en-US" w:eastAsia="zh-CN"/>
              </w:rPr>
            </w:pPr>
            <w:r>
              <w:rPr>
                <w:rFonts w:hint="eastAsia"/>
                <w:b/>
                <w:bCs/>
                <w:color w:val="auto"/>
                <w:sz w:val="18"/>
                <w:szCs w:val="18"/>
                <w:highlight w:val="none"/>
                <w:lang w:val="en-US" w:eastAsia="zh-CN"/>
              </w:rPr>
              <w:t>134</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22</w:t>
            </w:r>
            <w:r>
              <w:rPr>
                <w:rFonts w:hint="eastAsia"/>
                <w:b/>
                <w:bCs/>
                <w:color w:val="auto"/>
                <w:sz w:val="18"/>
                <w:szCs w:val="18"/>
                <w:highlight w:val="none"/>
                <w:lang w:val="en-US" w:eastAsia="zh-CN"/>
              </w:rPr>
              <w:t>12</w:t>
            </w:r>
          </w:p>
        </w:tc>
        <w:tc>
          <w:tcPr>
            <w:tcW w:w="442"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both"/>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1</w:t>
            </w:r>
            <w:r>
              <w:rPr>
                <w:rFonts w:hint="eastAsia"/>
                <w:b/>
                <w:bCs/>
                <w:color w:val="auto"/>
                <w:sz w:val="18"/>
                <w:szCs w:val="18"/>
                <w:highlight w:val="none"/>
                <w:lang w:val="en-US" w:eastAsia="zh-CN"/>
              </w:rPr>
              <w:t>364</w:t>
            </w:r>
          </w:p>
        </w:tc>
        <w:tc>
          <w:tcPr>
            <w:tcW w:w="484"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848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25</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24</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21</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ind w:firstLine="105"/>
              <w:jc w:val="both"/>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27</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hint="eastAsia"/>
                <w:b/>
                <w:bCs/>
                <w:color w:val="auto"/>
                <w:sz w:val="18"/>
                <w:szCs w:val="18"/>
                <w:highlight w:val="none"/>
                <w:lang w:val="en-US" w:eastAsia="zh-CN"/>
              </w:rPr>
              <w:t>8</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eastAsia="宋体" w:hint="eastAsia"/>
                <w:b/>
                <w:bCs/>
                <w:color w:val="auto"/>
                <w:sz w:val="18"/>
                <w:szCs w:val="18"/>
                <w:highlight w:val="none"/>
                <w:lang w:val="en-US" w:eastAsia="zh-CN"/>
              </w:rPr>
              <w:t>13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eastAsia="宋体" w:hAnsi="宋体" w:hint="default"/>
                <w:b/>
                <w:bCs/>
                <w:color w:val="auto"/>
                <w:sz w:val="18"/>
                <w:szCs w:val="18"/>
                <w:highlight w:val="none"/>
                <w:lang w:val="en-US" w:eastAsia="zh-CN"/>
              </w:rPr>
            </w:pPr>
            <w:r>
              <w:rPr>
                <w:rFonts w:ascii="宋体" w:hAnsi="宋体" w:hint="eastAsia"/>
                <w:b/>
                <w:bCs/>
                <w:color w:val="auto"/>
                <w:sz w:val="18"/>
                <w:szCs w:val="18"/>
                <w:highlight w:val="none"/>
                <w:lang w:val="en-US" w:eastAsia="zh-CN"/>
              </w:rPr>
              <w:t>1</w:t>
            </w:r>
            <w:r>
              <w:rPr>
                <w:rFonts w:hint="eastAsia"/>
                <w:b/>
                <w:bCs/>
                <w:color w:val="auto"/>
                <w:sz w:val="18"/>
                <w:szCs w:val="18"/>
                <w:highlight w:val="none"/>
                <w:lang w:val="en-US" w:eastAsia="zh-CN"/>
              </w:rPr>
              <w:t>3</w:t>
            </w:r>
          </w:p>
        </w:tc>
        <w:tc>
          <w:tcPr>
            <w:tcW w:w="34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469"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c>
          <w:tcPr>
            <w:tcW w:w="375" w:type="dxa"/>
            <w:tcBorders>
              <w:top w:val="single" w:sz="4" w:space="0" w:color="auto"/>
              <w:left w:val="single" w:sz="4" w:space="0" w:color="auto"/>
              <w:bottom w:val="single" w:sz="4" w:space="0" w:color="auto"/>
              <w:right w:val="single" w:sz="4" w:space="0" w:color="auto"/>
            </w:tcBorders>
            <w:shd w:val="clear" w:color="auto" w:fill="FFFFFF"/>
            <w:vAlign w:val="center"/>
          </w:tcPr>
          <w:p>
            <w:pPr>
              <w:adjustRightInd w:val="0"/>
              <w:snapToGrid w:val="0"/>
              <w:jc w:val="center"/>
              <w:rPr>
                <w:rFonts w:ascii="宋体" w:hAnsi="宋体"/>
                <w:bCs/>
                <w:color w:val="auto"/>
                <w:sz w:val="18"/>
                <w:szCs w:val="18"/>
                <w:highlight w:val="none"/>
              </w:rPr>
            </w:pPr>
          </w:p>
        </w:tc>
      </w:tr>
    </w:tbl>
    <w:p>
      <w:pPr>
        <w:keepNext w:val="0"/>
        <w:keepLines w:val="0"/>
        <w:pageBreakBefore w:val="0"/>
        <w:kinsoku/>
        <w:wordWrap/>
        <w:overflowPunct/>
        <w:topLinePunct w:val="0"/>
        <w:autoSpaceDE/>
        <w:bidi w:val="0"/>
        <w:adjustRightInd w:val="0"/>
        <w:snapToGrid w:val="0"/>
        <w:spacing w:line="520" w:lineRule="exact"/>
        <w:jc w:val="both"/>
        <w:rPr>
          <w:rFonts w:ascii="宋体" w:hAnsi="宋体" w:cs="宋体" w:hint="eastAsia"/>
          <w:b/>
          <w:bCs/>
          <w:color w:val="auto"/>
          <w:sz w:val="28"/>
          <w:szCs w:val="28"/>
          <w:highlight w:val="none"/>
          <w:lang w:eastAsia="zh-CN"/>
        </w:rPr>
      </w:pPr>
      <w:r>
        <w:rPr>
          <w:rFonts w:ascii="宋体" w:hAnsi="宋体" w:cs="宋体" w:hint="eastAsia"/>
          <w:color w:val="auto"/>
          <w:sz w:val="18"/>
          <w:lang w:eastAsia="zh-CN"/>
        </w:rPr>
        <w:t>注：标记</w:t>
      </w:r>
      <w:r>
        <w:rPr>
          <w:rFonts w:ascii="宋体" w:hAnsi="宋体" w:cs="宋体" w:hint="eastAsia"/>
          <w:color w:val="auto"/>
          <w:sz w:val="18"/>
          <w:lang w:eastAsia="zh-CN"/>
        </w:rPr>
        <w:t>★</w:t>
      </w:r>
      <w:r>
        <w:rPr>
          <w:rFonts w:ascii="宋体" w:hAnsi="宋体" w:cs="宋体" w:hint="eastAsia"/>
          <w:color w:val="auto"/>
          <w:sz w:val="18"/>
          <w:lang w:eastAsia="zh-CN"/>
        </w:rPr>
        <w:t>课程为长学时专业核心课程。</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jc w:val="both"/>
        <w:textAlignment w:val="auto"/>
        <w:rPr>
          <w:rFonts w:ascii="宋体" w:hAnsi="宋体" w:cs="宋体" w:hint="eastAsia"/>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1120" w:firstLineChars="400"/>
        <w:jc w:val="both"/>
        <w:textAlignment w:val="auto"/>
        <w:rPr>
          <w:rFonts w:ascii="宋体" w:hAnsi="宋体" w:cs="宋体"/>
          <w:b/>
          <w:bCs/>
          <w:color w:val="auto"/>
          <w:sz w:val="28"/>
          <w:szCs w:val="28"/>
          <w:highlight w:val="none"/>
        </w:rPr>
      </w:pPr>
      <w:r>
        <w:rPr>
          <w:rFonts w:ascii="宋体" w:hAnsi="宋体" w:cs="宋体" w:hint="eastAsia"/>
          <w:b/>
          <w:bCs/>
          <w:color w:val="auto"/>
          <w:sz w:val="28"/>
          <w:szCs w:val="28"/>
          <w:highlight w:val="none"/>
          <w:lang w:eastAsia="zh-CN"/>
        </w:rPr>
        <w:t>（三）</w:t>
      </w:r>
      <w:r>
        <w:rPr>
          <w:rFonts w:ascii="宋体" w:hAnsi="宋体" w:cs="宋体" w:hint="eastAsia"/>
          <w:b/>
          <w:bCs/>
          <w:color w:val="auto"/>
          <w:sz w:val="28"/>
          <w:szCs w:val="28"/>
          <w:highlight w:val="none"/>
        </w:rPr>
        <w:t>实践教学平台一览表</w:t>
      </w:r>
    </w:p>
    <w:tbl>
      <w:tblPr>
        <w:tblStyle w:val="TableNormal"/>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675"/>
        <w:gridCol w:w="945"/>
        <w:gridCol w:w="1129"/>
        <w:gridCol w:w="2496"/>
        <w:gridCol w:w="586"/>
        <w:gridCol w:w="586"/>
        <w:gridCol w:w="586"/>
        <w:gridCol w:w="586"/>
        <w:gridCol w:w="586"/>
        <w:gridCol w:w="1545"/>
      </w:tblGrid>
      <w:tr>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560"/>
          <w:jc w:val="center"/>
        </w:trPr>
        <w:tc>
          <w:tcPr>
            <w:tcW w:w="675" w:type="dxa"/>
            <w:tcBorders>
              <w:tl2br w:val="nil"/>
              <w:tr2bl w:val="nil"/>
            </w:tcBorders>
            <w:vAlign w:val="center"/>
          </w:tcPr>
          <w:p>
            <w:pPr>
              <w:pStyle w:val="PlainText"/>
              <w:adjustRightInd w:val="0"/>
              <w:snapToGrid w:val="0"/>
              <w:jc w:val="center"/>
              <w:rPr>
                <w:rFonts w:hAnsi="宋体"/>
                <w:b/>
                <w:bCs w:val="0"/>
                <w:color w:val="auto"/>
                <w:sz w:val="18"/>
                <w:szCs w:val="18"/>
                <w:highlight w:val="none"/>
              </w:rPr>
            </w:pPr>
            <w:r>
              <w:rPr>
                <w:rFonts w:hAnsi="宋体" w:hint="eastAsia"/>
                <w:b/>
                <w:bCs w:val="0"/>
                <w:color w:val="auto"/>
                <w:sz w:val="18"/>
                <w:szCs w:val="18"/>
                <w:highlight w:val="none"/>
              </w:rPr>
              <w:t>平台</w:t>
            </w:r>
          </w:p>
          <w:p>
            <w:pPr>
              <w:pStyle w:val="PlainText"/>
              <w:adjustRightInd w:val="0"/>
              <w:snapToGrid w:val="0"/>
              <w:jc w:val="center"/>
              <w:rPr>
                <w:rFonts w:hAnsi="宋体"/>
                <w:b/>
                <w:bCs w:val="0"/>
                <w:color w:val="auto"/>
                <w:sz w:val="18"/>
                <w:szCs w:val="18"/>
                <w:highlight w:val="none"/>
              </w:rPr>
            </w:pPr>
            <w:r>
              <w:rPr>
                <w:rFonts w:hAnsi="宋体" w:hint="eastAsia"/>
                <w:b/>
                <w:bCs w:val="0"/>
                <w:color w:val="auto"/>
                <w:sz w:val="18"/>
                <w:szCs w:val="18"/>
                <w:highlight w:val="none"/>
              </w:rPr>
              <w:t>类别</w:t>
            </w:r>
          </w:p>
        </w:tc>
        <w:tc>
          <w:tcPr>
            <w:tcW w:w="945" w:type="dxa"/>
            <w:tcBorders>
              <w:tl2br w:val="nil"/>
              <w:tr2bl w:val="nil"/>
            </w:tcBorders>
            <w:vAlign w:val="center"/>
          </w:tcPr>
          <w:p>
            <w:pPr>
              <w:pStyle w:val="PlainText"/>
              <w:adjustRightInd w:val="0"/>
              <w:snapToGrid w:val="0"/>
              <w:jc w:val="center"/>
              <w:rPr>
                <w:rFonts w:hAnsi="宋体"/>
                <w:b/>
                <w:bCs w:val="0"/>
                <w:color w:val="auto"/>
                <w:sz w:val="18"/>
                <w:szCs w:val="18"/>
                <w:highlight w:val="none"/>
              </w:rPr>
            </w:pPr>
            <w:r>
              <w:rPr>
                <w:rFonts w:hAnsi="宋体" w:hint="eastAsia"/>
                <w:b/>
                <w:bCs w:val="0"/>
                <w:color w:val="auto"/>
                <w:sz w:val="18"/>
                <w:szCs w:val="18"/>
                <w:highlight w:val="none"/>
              </w:rPr>
              <w:t>课程</w:t>
            </w:r>
          </w:p>
          <w:p>
            <w:pPr>
              <w:pStyle w:val="PlainText"/>
              <w:adjustRightInd w:val="0"/>
              <w:snapToGrid w:val="0"/>
              <w:jc w:val="center"/>
              <w:rPr>
                <w:rFonts w:hAnsi="宋体"/>
                <w:b/>
                <w:bCs w:val="0"/>
                <w:color w:val="auto"/>
                <w:sz w:val="18"/>
                <w:szCs w:val="18"/>
                <w:highlight w:val="none"/>
              </w:rPr>
            </w:pPr>
            <w:r>
              <w:rPr>
                <w:rFonts w:hAnsi="宋体" w:hint="eastAsia"/>
                <w:b/>
                <w:bCs w:val="0"/>
                <w:color w:val="auto"/>
                <w:sz w:val="18"/>
                <w:szCs w:val="18"/>
                <w:highlight w:val="none"/>
              </w:rPr>
              <w:t>类别</w:t>
            </w:r>
          </w:p>
        </w:tc>
        <w:tc>
          <w:tcPr>
            <w:tcW w:w="1129" w:type="dxa"/>
            <w:tcBorders>
              <w:tl2br w:val="nil"/>
              <w:tr2bl w:val="nil"/>
            </w:tcBorders>
            <w:vAlign w:val="center"/>
          </w:tcPr>
          <w:p>
            <w:pPr>
              <w:pStyle w:val="PlainText"/>
              <w:adjustRightInd w:val="0"/>
              <w:snapToGrid w:val="0"/>
              <w:jc w:val="center"/>
              <w:rPr>
                <w:rFonts w:hAnsi="宋体"/>
                <w:b/>
                <w:bCs w:val="0"/>
                <w:color w:val="auto"/>
                <w:sz w:val="18"/>
                <w:szCs w:val="18"/>
                <w:highlight w:val="none"/>
              </w:rPr>
            </w:pPr>
            <w:r>
              <w:rPr>
                <w:rFonts w:hAnsi="宋体" w:hint="eastAsia"/>
                <w:b/>
                <w:bCs w:val="0"/>
                <w:color w:val="auto"/>
                <w:sz w:val="18"/>
                <w:szCs w:val="18"/>
                <w:highlight w:val="none"/>
              </w:rPr>
              <w:t>课程编号</w:t>
            </w:r>
          </w:p>
        </w:tc>
        <w:tc>
          <w:tcPr>
            <w:tcW w:w="2496" w:type="dxa"/>
            <w:tcBorders>
              <w:tl2br w:val="nil"/>
              <w:tr2bl w:val="nil"/>
            </w:tcBorders>
            <w:vAlign w:val="center"/>
          </w:tcPr>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课程名称</w:t>
            </w:r>
          </w:p>
        </w:tc>
        <w:tc>
          <w:tcPr>
            <w:tcW w:w="586" w:type="dxa"/>
            <w:tcBorders>
              <w:tl2br w:val="nil"/>
              <w:tr2bl w:val="nil"/>
            </w:tcBorders>
            <w:vAlign w:val="center"/>
          </w:tcPr>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开课</w:t>
            </w:r>
          </w:p>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学期</w:t>
            </w:r>
          </w:p>
        </w:tc>
        <w:tc>
          <w:tcPr>
            <w:tcW w:w="586" w:type="dxa"/>
            <w:tcBorders>
              <w:tl2br w:val="nil"/>
              <w:tr2bl w:val="nil"/>
            </w:tcBorders>
            <w:vAlign w:val="center"/>
          </w:tcPr>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学分</w:t>
            </w:r>
          </w:p>
        </w:tc>
        <w:tc>
          <w:tcPr>
            <w:tcW w:w="586" w:type="dxa"/>
            <w:tcBorders>
              <w:tl2br w:val="nil"/>
              <w:tr2bl w:val="nil"/>
            </w:tcBorders>
            <w:vAlign w:val="center"/>
          </w:tcPr>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周数</w:t>
            </w:r>
          </w:p>
        </w:tc>
        <w:tc>
          <w:tcPr>
            <w:tcW w:w="586" w:type="dxa"/>
            <w:tcBorders>
              <w:tl2br w:val="nil"/>
              <w:tr2bl w:val="nil"/>
            </w:tcBorders>
            <w:vAlign w:val="center"/>
          </w:tcPr>
          <w:p>
            <w:pPr>
              <w:widowControl/>
              <w:adjustRightInd w:val="0"/>
              <w:snapToGrid w:val="0"/>
              <w:jc w:val="center"/>
              <w:rPr>
                <w:rFonts w:ascii="宋体" w:hAnsi="宋体" w:cs="宋体"/>
                <w:b/>
                <w:bCs/>
                <w:color w:val="auto"/>
                <w:sz w:val="18"/>
                <w:szCs w:val="18"/>
                <w:highlight w:val="none"/>
              </w:rPr>
            </w:pPr>
            <w:r>
              <w:rPr>
                <w:rFonts w:ascii="宋体" w:hAnsi="宋体" w:cs="宋体" w:hint="eastAsia"/>
                <w:b/>
                <w:bCs/>
                <w:color w:val="auto"/>
                <w:sz w:val="18"/>
                <w:szCs w:val="18"/>
                <w:highlight w:val="none"/>
              </w:rPr>
              <w:t>课程</w:t>
            </w:r>
          </w:p>
          <w:p>
            <w:pPr>
              <w:widowControl/>
              <w:adjustRightInd w:val="0"/>
              <w:snapToGrid w:val="0"/>
              <w:jc w:val="center"/>
              <w:rPr>
                <w:rFonts w:ascii="宋体" w:hAnsi="宋体" w:cs="宋体"/>
                <w:b/>
                <w:bCs/>
                <w:color w:val="auto"/>
                <w:sz w:val="18"/>
                <w:szCs w:val="18"/>
                <w:highlight w:val="none"/>
              </w:rPr>
            </w:pPr>
            <w:r>
              <w:rPr>
                <w:rFonts w:ascii="宋体" w:hAnsi="宋体" w:cs="宋体" w:hint="eastAsia"/>
                <w:b/>
                <w:bCs/>
                <w:color w:val="auto"/>
                <w:sz w:val="18"/>
                <w:szCs w:val="18"/>
                <w:highlight w:val="none"/>
              </w:rPr>
              <w:t>属性</w:t>
            </w:r>
          </w:p>
        </w:tc>
        <w:tc>
          <w:tcPr>
            <w:tcW w:w="586" w:type="dxa"/>
            <w:tcBorders>
              <w:tl2br w:val="nil"/>
              <w:tr2bl w:val="nil"/>
            </w:tcBorders>
            <w:vAlign w:val="center"/>
          </w:tcPr>
          <w:p>
            <w:pPr>
              <w:widowControl/>
              <w:adjustRightInd w:val="0"/>
              <w:snapToGrid w:val="0"/>
              <w:jc w:val="center"/>
              <w:rPr>
                <w:rFonts w:ascii="宋体" w:hAnsi="宋体" w:cs="宋体"/>
                <w:b/>
                <w:bCs/>
                <w:color w:val="auto"/>
                <w:sz w:val="18"/>
                <w:szCs w:val="18"/>
                <w:highlight w:val="none"/>
              </w:rPr>
            </w:pPr>
            <w:r>
              <w:rPr>
                <w:rFonts w:ascii="宋体" w:hAnsi="宋体" w:cs="宋体" w:hint="eastAsia"/>
                <w:b/>
                <w:bCs/>
                <w:color w:val="auto"/>
                <w:sz w:val="18"/>
                <w:szCs w:val="18"/>
                <w:highlight w:val="none"/>
              </w:rPr>
              <w:t>考核</w:t>
            </w:r>
          </w:p>
          <w:p>
            <w:pPr>
              <w:widowControl/>
              <w:adjustRightInd w:val="0"/>
              <w:snapToGrid w:val="0"/>
              <w:jc w:val="center"/>
              <w:rPr>
                <w:rFonts w:ascii="宋体" w:hAnsi="宋体" w:cs="宋体"/>
                <w:b/>
                <w:color w:val="auto"/>
                <w:kern w:val="0"/>
                <w:sz w:val="18"/>
                <w:szCs w:val="18"/>
                <w:highlight w:val="none"/>
                <w:shd w:val="pct10" w:color="auto" w:fill="FFFFFF"/>
              </w:rPr>
            </w:pPr>
            <w:r>
              <w:rPr>
                <w:rFonts w:ascii="宋体" w:hAnsi="宋体" w:cs="宋体" w:hint="eastAsia"/>
                <w:b/>
                <w:bCs/>
                <w:color w:val="auto"/>
                <w:sz w:val="18"/>
                <w:szCs w:val="18"/>
                <w:highlight w:val="none"/>
              </w:rPr>
              <w:t>方式</w:t>
            </w:r>
          </w:p>
        </w:tc>
        <w:tc>
          <w:tcPr>
            <w:tcW w:w="1545" w:type="dxa"/>
            <w:tcBorders>
              <w:tl2br w:val="nil"/>
              <w:tr2bl w:val="nil"/>
            </w:tcBorders>
            <w:vAlign w:val="center"/>
          </w:tcPr>
          <w:p>
            <w:pPr>
              <w:widowControl/>
              <w:adjustRightInd w:val="0"/>
              <w:snapToGrid w:val="0"/>
              <w:jc w:val="center"/>
              <w:rPr>
                <w:rFonts w:ascii="宋体" w:hAnsi="宋体" w:cs="宋体"/>
                <w:b/>
                <w:color w:val="auto"/>
                <w:kern w:val="0"/>
                <w:sz w:val="18"/>
                <w:szCs w:val="18"/>
                <w:highlight w:val="none"/>
              </w:rPr>
            </w:pPr>
            <w:r>
              <w:rPr>
                <w:rFonts w:ascii="宋体" w:hAnsi="宋体" w:cs="宋体" w:hint="eastAsia"/>
                <w:b/>
                <w:color w:val="auto"/>
                <w:kern w:val="0"/>
                <w:sz w:val="18"/>
                <w:szCs w:val="18"/>
                <w:highlight w:val="none"/>
              </w:rPr>
              <w:t>备注</w:t>
            </w: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val="restart"/>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实</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践</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平</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台</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课</w:t>
            </w:r>
          </w:p>
        </w:tc>
        <w:tc>
          <w:tcPr>
            <w:tcW w:w="945" w:type="dxa"/>
            <w:vMerge w:val="restart"/>
            <w:tcBorders>
              <w:tl2br w:val="nil"/>
              <w:tr2bl w:val="nil"/>
            </w:tcBorders>
            <w:shd w:val="clear" w:color="auto" w:fill="auto"/>
            <w:vAlign w:val="center"/>
          </w:tcPr>
          <w:p>
            <w:pPr>
              <w:adjustRightInd w:val="0"/>
              <w:snapToGrid w:val="0"/>
              <w:jc w:val="center"/>
              <w:rPr>
                <w:rFonts w:ascii="宋体" w:hAnsi="宋体" w:cs="宋体" w:hint="eastAsia"/>
                <w:color w:val="auto"/>
                <w:kern w:val="0"/>
                <w:sz w:val="18"/>
                <w:szCs w:val="18"/>
                <w:highlight w:val="none"/>
                <w:lang w:val="en-US" w:eastAsia="zh-CN"/>
              </w:rPr>
            </w:pPr>
            <w:r>
              <w:rPr>
                <w:rFonts w:ascii="宋体" w:hAnsi="宋体" w:cs="宋体" w:hint="eastAsia"/>
                <w:color w:val="auto"/>
                <w:kern w:val="0"/>
                <w:sz w:val="18"/>
                <w:szCs w:val="18"/>
                <w:highlight w:val="none"/>
                <w:lang w:val="en-US" w:eastAsia="zh-CN"/>
              </w:rPr>
              <w:t>基础性</w:t>
            </w:r>
          </w:p>
          <w:p>
            <w:pPr>
              <w:adjustRightInd w:val="0"/>
              <w:snapToGrid w:val="0"/>
              <w:jc w:val="center"/>
              <w:rPr>
                <w:rFonts w:ascii="宋体" w:eastAsia="宋体" w:hAnsi="宋体" w:cs="宋体" w:hint="default"/>
                <w:color w:val="auto"/>
                <w:kern w:val="0"/>
                <w:sz w:val="18"/>
                <w:szCs w:val="18"/>
                <w:highlight w:val="none"/>
                <w:lang w:val="en-US" w:eastAsia="zh-CN"/>
              </w:rPr>
            </w:pPr>
            <w:r>
              <w:rPr>
                <w:rFonts w:ascii="宋体" w:hAnsi="宋体" w:cs="宋体" w:hint="eastAsia"/>
                <w:color w:val="auto"/>
                <w:kern w:val="0"/>
                <w:sz w:val="18"/>
                <w:szCs w:val="18"/>
                <w:highlight w:val="none"/>
                <w:lang w:val="en-US" w:eastAsia="zh-CN"/>
              </w:rPr>
              <w:t>实践课程</w:t>
            </w:r>
          </w:p>
        </w:tc>
        <w:tc>
          <w:tcPr>
            <w:tcW w:w="1129" w:type="dxa"/>
            <w:tcBorders>
              <w:tl2br w:val="nil"/>
              <w:tr2bl w:val="nil"/>
            </w:tcBorders>
            <w:shd w:val="clear" w:color="auto" w:fill="FFFFFF"/>
            <w:vAlign w:val="center"/>
          </w:tcPr>
          <w:p>
            <w:pPr>
              <w:widowControl w:val="0"/>
              <w:adjustRightInd w:val="0"/>
              <w:snapToGrid w:val="0"/>
              <w:spacing w:after="0" w:line="240" w:lineRule="auto"/>
              <w:ind w:firstLine="36" w:firstLineChars="20"/>
              <w:jc w:val="center"/>
              <w:rPr>
                <w:rFonts w:ascii="宋体" w:eastAsia="宋体" w:hAnsi="宋体" w:cs="Times New Roman" w:hint="eastAsia"/>
                <w:color w:val="auto"/>
                <w:kern w:val="2"/>
                <w:sz w:val="18"/>
                <w:szCs w:val="18"/>
                <w:lang w:val="en-US" w:eastAsia="zh-CN" w:bidi="ar-SA"/>
              </w:rPr>
            </w:pPr>
            <w:r>
              <w:rPr>
                <w:rFonts w:ascii="宋体" w:hAnsi="宋体" w:cs="Times New Roman" w:hint="eastAsia"/>
                <w:color w:val="auto"/>
                <w:kern w:val="2"/>
                <w:sz w:val="18"/>
                <w:szCs w:val="18"/>
                <w:lang w:val="en-US" w:eastAsia="zh-CN" w:bidi="ar-SA"/>
              </w:rPr>
              <w:t>621115</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Calibri"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军事训练</w:t>
            </w:r>
          </w:p>
        </w:tc>
        <w:tc>
          <w:tcPr>
            <w:tcW w:w="586" w:type="dxa"/>
            <w:tcBorders>
              <w:tl2br w:val="nil"/>
              <w:tr2bl w:val="nil"/>
            </w:tcBorders>
            <w:shd w:val="clear" w:color="auto" w:fill="FFFFFF"/>
            <w:vAlign w:val="center"/>
          </w:tcPr>
          <w:p>
            <w:pPr>
              <w:adjustRightInd w:val="0"/>
              <w:snapToGrid w:val="0"/>
              <w:jc w:val="center"/>
              <w:rPr>
                <w:rFonts w:ascii="宋体" w:eastAsia="宋体" w:hAnsi="Calibri"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1</w:t>
            </w:r>
          </w:p>
        </w:tc>
        <w:tc>
          <w:tcPr>
            <w:tcW w:w="586" w:type="dxa"/>
            <w:tcBorders>
              <w:tl2br w:val="nil"/>
              <w:tr2bl w:val="nil"/>
            </w:tcBorders>
            <w:shd w:val="clear" w:color="auto" w:fill="FFFFFF"/>
            <w:vAlign w:val="center"/>
          </w:tcPr>
          <w:p>
            <w:pPr>
              <w:adjustRightInd w:val="0"/>
              <w:snapToGrid w:val="0"/>
              <w:jc w:val="center"/>
              <w:rPr>
                <w:rFonts w:ascii="宋体" w:eastAsia="宋体" w:hAnsi="Calibri"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2</w:t>
            </w:r>
          </w:p>
        </w:tc>
        <w:tc>
          <w:tcPr>
            <w:tcW w:w="586" w:type="dxa"/>
            <w:tcBorders>
              <w:tl2br w:val="nil"/>
              <w:tr2bl w:val="nil"/>
            </w:tcBorders>
            <w:shd w:val="clear" w:color="auto" w:fill="FFFFFF"/>
            <w:vAlign w:val="center"/>
          </w:tcPr>
          <w:p>
            <w:pPr>
              <w:adjustRightInd w:val="0"/>
              <w:snapToGrid w:val="0"/>
              <w:jc w:val="center"/>
              <w:rPr>
                <w:rFonts w:ascii="宋体" w:eastAsia="宋体" w:hAnsi="Calibri" w:cs="Times New Roman" w:hint="eastAsia"/>
                <w:bCs/>
                <w:color w:val="auto"/>
                <w:kern w:val="2"/>
                <w:sz w:val="18"/>
                <w:szCs w:val="18"/>
                <w:highlight w:val="none"/>
                <w:lang w:val="en-US" w:eastAsia="zh-CN" w:bidi="ar-SA"/>
              </w:rPr>
            </w:pPr>
            <w:r>
              <w:rPr>
                <w:rFonts w:ascii="宋体" w:hint="eastAsia"/>
                <w:bCs/>
                <w:color w:val="auto"/>
                <w:sz w:val="18"/>
                <w:szCs w:val="18"/>
                <w:highlight w:val="none"/>
              </w:rPr>
              <w:t>2</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Calibri" w:cs="Times New Roman" w:hint="eastAsia"/>
                <w:bCs/>
                <w:color w:val="auto"/>
                <w:kern w:val="2"/>
                <w:sz w:val="18"/>
                <w:szCs w:val="18"/>
                <w:highlight w:val="none"/>
                <w:lang w:val="en-US" w:eastAsia="zh-CN" w:bidi="ar-SA"/>
              </w:rPr>
            </w:pPr>
            <w:r>
              <w:rPr>
                <w:rFonts w:ascii="宋体"/>
                <w:bCs/>
                <w:color w:val="auto"/>
                <w:sz w:val="18"/>
                <w:szCs w:val="18"/>
                <w:highlight w:val="none"/>
              </w:rPr>
              <w:t>必</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Calibri" w:cs="Times New Roman" w:hint="eastAsia"/>
                <w:bCs/>
                <w:color w:val="auto"/>
                <w:kern w:val="2"/>
                <w:sz w:val="18"/>
                <w:szCs w:val="18"/>
                <w:highlight w:val="none"/>
                <w:lang w:val="en-US" w:eastAsia="zh-CN" w:bidi="ar-SA"/>
              </w:rPr>
            </w:pPr>
            <w:r>
              <w:rPr>
                <w:rFonts w:ascii="宋体"/>
                <w:bCs/>
                <w:color w:val="auto"/>
                <w:sz w:val="18"/>
                <w:szCs w:val="18"/>
                <w:highlight w:val="none"/>
              </w:rPr>
              <w:t>查</w:t>
            </w:r>
          </w:p>
        </w:tc>
        <w:tc>
          <w:tcPr>
            <w:tcW w:w="1545"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eastAsia="宋体" w:hAnsi="宋体" w:cs="宋体" w:hint="default"/>
                <w:color w:val="auto"/>
                <w:kern w:val="0"/>
                <w:sz w:val="18"/>
                <w:szCs w:val="18"/>
                <w:highlight w:val="none"/>
                <w:lang w:val="en-US" w:eastAsia="zh-CN"/>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621110</w:t>
            </w:r>
          </w:p>
        </w:tc>
        <w:tc>
          <w:tcPr>
            <w:tcW w:w="2496"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思想</w:t>
            </w:r>
            <w:r>
              <w:rPr>
                <w:rFonts w:ascii="宋体" w:hAnsi="宋体" w:hint="eastAsia"/>
                <w:bCs/>
                <w:color w:val="auto"/>
                <w:sz w:val="18"/>
                <w:szCs w:val="18"/>
                <w:highlight w:val="none"/>
                <w:lang w:val="en-US" w:eastAsia="zh-CN"/>
              </w:rPr>
              <w:t>政治理论课</w:t>
            </w:r>
            <w:r>
              <w:rPr>
                <w:rFonts w:ascii="宋体" w:hAnsi="宋体" w:hint="eastAsia"/>
                <w:bCs/>
                <w:color w:val="auto"/>
                <w:sz w:val="18"/>
                <w:szCs w:val="18"/>
                <w:highlight w:val="none"/>
              </w:rPr>
              <w:t>实践</w:t>
            </w:r>
          </w:p>
        </w:tc>
        <w:tc>
          <w:tcPr>
            <w:tcW w:w="586" w:type="dxa"/>
            <w:tcBorders>
              <w:tl2br w:val="nil"/>
              <w:tr2bl w:val="nil"/>
            </w:tcBorders>
            <w:shd w:val="clear" w:color="auto" w:fill="FFFFFF"/>
            <w:vAlign w:val="center"/>
          </w:tcPr>
          <w:p>
            <w:pPr>
              <w:adjustRightInd w:val="0"/>
              <w:snapToGrid w:val="0"/>
              <w:jc w:val="center"/>
              <w:rPr>
                <w:rFonts w:ascii="宋体" w:eastAsia="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1-8</w:t>
            </w:r>
          </w:p>
        </w:tc>
        <w:tc>
          <w:tcPr>
            <w:tcW w:w="586" w:type="dxa"/>
            <w:tcBorders>
              <w:tl2br w:val="nil"/>
              <w:tr2bl w:val="nil"/>
            </w:tcBorders>
            <w:shd w:val="clear" w:color="auto" w:fill="FFFFFF"/>
            <w:vAlign w:val="center"/>
          </w:tcPr>
          <w:p>
            <w:pPr>
              <w:adjustRightInd w:val="0"/>
              <w:snapToGrid w:val="0"/>
              <w:jc w:val="center"/>
              <w:rPr>
                <w:rFonts w:ascii="宋体" w:eastAsia="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2</w:t>
            </w:r>
          </w:p>
        </w:tc>
        <w:tc>
          <w:tcPr>
            <w:tcW w:w="586" w:type="dxa"/>
            <w:tcBorders>
              <w:tl2br w:val="nil"/>
              <w:tr2bl w:val="nil"/>
            </w:tcBorders>
            <w:shd w:val="clear" w:color="auto" w:fill="FFFFFF"/>
            <w:vAlign w:val="center"/>
          </w:tcPr>
          <w:p>
            <w:pPr>
              <w:adjustRightInd w:val="0"/>
              <w:snapToGrid w:val="0"/>
              <w:jc w:val="center"/>
              <w:rPr>
                <w:rFonts w:ascii="宋体" w:hAnsi="宋体" w:hint="default"/>
                <w:color w:val="auto"/>
                <w:sz w:val="18"/>
                <w:szCs w:val="18"/>
                <w:highlight w:val="none"/>
                <w:lang w:val="en-US"/>
              </w:rPr>
            </w:pPr>
          </w:p>
        </w:tc>
        <w:tc>
          <w:tcPr>
            <w:tcW w:w="586" w:type="dxa"/>
            <w:tcBorders>
              <w:tl2br w:val="nil"/>
              <w:tr2bl w:val="nil"/>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必</w:t>
            </w:r>
          </w:p>
        </w:tc>
        <w:tc>
          <w:tcPr>
            <w:tcW w:w="586" w:type="dxa"/>
            <w:tcBorders>
              <w:tl2br w:val="nil"/>
              <w:tr2bl w:val="nil"/>
            </w:tcBorders>
            <w:shd w:val="clear" w:color="auto" w:fill="FFFFFF"/>
            <w:vAlign w:val="center"/>
          </w:tcPr>
          <w:p>
            <w:pPr>
              <w:adjustRightInd w:val="0"/>
              <w:snapToGrid w:val="0"/>
              <w:jc w:val="center"/>
              <w:rPr>
                <w:rFonts w:ascii="宋体" w:hAnsi="宋体"/>
                <w:color w:val="auto"/>
                <w:sz w:val="18"/>
                <w:szCs w:val="18"/>
                <w:highlight w:val="none"/>
              </w:rPr>
            </w:pPr>
            <w:r>
              <w:rPr>
                <w:rFonts w:ascii="宋体" w:hAnsi="宋体" w:hint="eastAsia"/>
                <w:color w:val="auto"/>
                <w:sz w:val="18"/>
                <w:szCs w:val="18"/>
                <w:highlight w:val="none"/>
              </w:rPr>
              <w:t>查</w:t>
            </w:r>
          </w:p>
        </w:tc>
        <w:tc>
          <w:tcPr>
            <w:tcW w:w="1545"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523108</w:t>
            </w:r>
          </w:p>
        </w:tc>
        <w:tc>
          <w:tcPr>
            <w:tcW w:w="249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eastAsia="宋体" w:cs="Times New Roman" w:hint="eastAsia"/>
                <w:bCs/>
                <w:color w:val="auto"/>
                <w:kern w:val="2"/>
                <w:sz w:val="18"/>
                <w:szCs w:val="18"/>
                <w:highlight w:val="none"/>
                <w:lang w:val="en-US" w:eastAsia="zh-CN" w:bidi="ar-SA"/>
              </w:rPr>
              <w:t>声乐综合实训</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hint="eastAsia"/>
                <w:bCs/>
                <w:color w:val="auto"/>
                <w:sz w:val="18"/>
                <w:szCs w:val="18"/>
                <w:highlight w:val="none"/>
                <w:lang w:val="en-US" w:eastAsia="zh-CN"/>
              </w:rPr>
              <w:t>3</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必</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查</w:t>
            </w:r>
          </w:p>
        </w:tc>
        <w:tc>
          <w:tcPr>
            <w:tcW w:w="1545"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523150</w:t>
            </w:r>
          </w:p>
        </w:tc>
        <w:tc>
          <w:tcPr>
            <w:tcW w:w="249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eastAsia="宋体" w:cs="宋体" w:hint="eastAsia"/>
                <w:bCs/>
                <w:color w:val="auto"/>
                <w:kern w:val="2"/>
                <w:sz w:val="18"/>
                <w:szCs w:val="18"/>
                <w:highlight w:val="none"/>
                <w:lang w:val="en-US" w:eastAsia="zh-CN" w:bidi="ar-SA"/>
              </w:rPr>
              <w:t>形体综合实训</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eastAsia="宋体" w:hint="eastAsia"/>
                <w:bCs/>
                <w:color w:val="auto"/>
                <w:sz w:val="18"/>
                <w:szCs w:val="18"/>
                <w:highlight w:val="none"/>
                <w:lang w:val="en-US" w:eastAsia="zh-CN"/>
              </w:rPr>
              <w:t>4</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必</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查</w:t>
            </w:r>
          </w:p>
        </w:tc>
        <w:tc>
          <w:tcPr>
            <w:tcW w:w="1545"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Times New Roman"/>
                <w:bCs/>
                <w:color w:val="auto"/>
                <w:kern w:val="2"/>
                <w:sz w:val="18"/>
                <w:szCs w:val="18"/>
                <w:highlight w:val="none"/>
                <w:lang w:val="en-US" w:eastAsia="zh-CN" w:bidi="ar-SA"/>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523309</w:t>
            </w:r>
          </w:p>
        </w:tc>
        <w:tc>
          <w:tcPr>
            <w:tcW w:w="249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eastAsia="宋体" w:cs="宋体" w:hint="eastAsia"/>
                <w:bCs/>
                <w:color w:val="auto"/>
                <w:kern w:val="2"/>
                <w:sz w:val="18"/>
                <w:szCs w:val="18"/>
                <w:highlight w:val="none"/>
                <w:lang w:val="en-US" w:eastAsia="zh-CN" w:bidi="ar-SA"/>
              </w:rPr>
              <w:t>台词综合实训</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default"/>
                <w:bCs/>
                <w:color w:val="auto"/>
                <w:kern w:val="2"/>
                <w:sz w:val="18"/>
                <w:szCs w:val="18"/>
                <w:highlight w:val="none"/>
                <w:lang w:val="en-US" w:eastAsia="zh-CN" w:bidi="ar-SA"/>
              </w:rPr>
            </w:pPr>
            <w:r>
              <w:rPr>
                <w:rFonts w:eastAsia="宋体" w:cs="宋体" w:hint="eastAsia"/>
                <w:bCs/>
                <w:color w:val="auto"/>
                <w:kern w:val="2"/>
                <w:sz w:val="18"/>
                <w:szCs w:val="18"/>
                <w:highlight w:val="none"/>
                <w:lang w:val="en-US" w:eastAsia="zh-CN" w:bidi="ar-SA"/>
              </w:rPr>
              <w:t>6</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必</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Times New Roman"/>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查</w:t>
            </w:r>
          </w:p>
        </w:tc>
        <w:tc>
          <w:tcPr>
            <w:tcW w:w="1545"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Times New Roman"/>
                <w:bCs/>
                <w:color w:val="auto"/>
                <w:kern w:val="2"/>
                <w:sz w:val="18"/>
                <w:szCs w:val="18"/>
                <w:highlight w:val="none"/>
                <w:lang w:val="en-US" w:eastAsia="zh-CN" w:bidi="ar-SA"/>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3625" w:type="dxa"/>
            <w:gridSpan w:val="2"/>
            <w:tcBorders>
              <w:tl2br w:val="nil"/>
              <w:tr2bl w:val="nil"/>
            </w:tcBorders>
            <w:shd w:val="clear" w:color="auto" w:fill="FFFFFF"/>
            <w:vAlign w:val="center"/>
          </w:tcPr>
          <w:p>
            <w:pPr>
              <w:widowControl/>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小计</w:t>
            </w:r>
          </w:p>
        </w:tc>
        <w:tc>
          <w:tcPr>
            <w:tcW w:w="586"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7</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5</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c>
          <w:tcPr>
            <w:tcW w:w="1545"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val="restart"/>
            <w:tcBorders>
              <w:tl2br w:val="nil"/>
              <w:tr2bl w:val="nil"/>
            </w:tcBorders>
            <w:shd w:val="clear" w:color="auto" w:fill="auto"/>
            <w:vAlign w:val="center"/>
          </w:tcPr>
          <w:p>
            <w:pPr>
              <w:adjustRightInd w:val="0"/>
              <w:snapToGrid w:val="0"/>
              <w:jc w:val="center"/>
              <w:rPr>
                <w:rFonts w:ascii="宋体" w:hAnsi="宋体" w:cs="宋体" w:hint="eastAsia"/>
                <w:color w:val="auto"/>
                <w:kern w:val="0"/>
                <w:sz w:val="18"/>
                <w:szCs w:val="18"/>
                <w:highlight w:val="none"/>
                <w:lang w:eastAsia="zh-CN"/>
              </w:rPr>
            </w:pPr>
            <w:r>
              <w:rPr>
                <w:rFonts w:ascii="宋体" w:hAnsi="宋体" w:cs="宋体" w:hint="eastAsia"/>
                <w:color w:val="auto"/>
                <w:kern w:val="0"/>
                <w:sz w:val="18"/>
                <w:szCs w:val="18"/>
                <w:highlight w:val="none"/>
                <w:lang w:eastAsia="zh-CN"/>
              </w:rPr>
              <w:t>提高性</w:t>
            </w:r>
          </w:p>
          <w:p>
            <w:pPr>
              <w:adjustRightInd w:val="0"/>
              <w:snapToGrid w:val="0"/>
              <w:jc w:val="center"/>
              <w:rPr>
                <w:rFonts w:ascii="宋体" w:eastAsia="宋体" w:hAnsi="宋体" w:cs="宋体" w:hint="eastAsia"/>
                <w:color w:val="auto"/>
                <w:kern w:val="0"/>
                <w:sz w:val="18"/>
                <w:szCs w:val="18"/>
                <w:highlight w:val="none"/>
                <w:lang w:eastAsia="zh-CN"/>
              </w:rPr>
            </w:pPr>
            <w:r>
              <w:rPr>
                <w:rFonts w:ascii="宋体" w:hAnsi="宋体" w:cs="宋体" w:hint="eastAsia"/>
                <w:color w:val="auto"/>
                <w:kern w:val="0"/>
                <w:sz w:val="18"/>
                <w:szCs w:val="18"/>
                <w:highlight w:val="none"/>
                <w:lang w:eastAsia="zh-CN"/>
              </w:rPr>
              <w:t>实践课程</w:t>
            </w: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525007</w:t>
            </w:r>
          </w:p>
        </w:tc>
        <w:tc>
          <w:tcPr>
            <w:tcW w:w="2496" w:type="dxa"/>
            <w:tcBorders>
              <w:tl2br w:val="nil"/>
              <w:tr2bl w:val="nil"/>
            </w:tcBorders>
            <w:shd w:val="clear" w:color="auto" w:fill="FFFFFF"/>
            <w:vAlign w:val="center"/>
          </w:tcPr>
          <w:p>
            <w:pPr>
              <w:tabs>
                <w:tab w:val="left" w:pos="742"/>
              </w:tabs>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eastAsia="宋体" w:cs="宋体" w:hint="eastAsia"/>
                <w:bCs/>
                <w:color w:val="auto"/>
                <w:kern w:val="2"/>
                <w:sz w:val="18"/>
                <w:szCs w:val="18"/>
                <w:highlight w:val="none"/>
                <w:lang w:val="en-US" w:eastAsia="zh-CN" w:bidi="ar-SA"/>
              </w:rPr>
              <w:t>表演综合实训</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eastAsia="宋体" w:cs="宋体" w:hint="eastAsia"/>
                <w:bCs/>
                <w:color w:val="auto"/>
                <w:kern w:val="2"/>
                <w:sz w:val="18"/>
                <w:szCs w:val="18"/>
                <w:highlight w:val="none"/>
                <w:lang w:val="en-US" w:eastAsia="zh-CN" w:bidi="ar-SA"/>
              </w:rPr>
              <w:t>7</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宋体" w:hint="eastAsia"/>
                <w:bCs/>
                <w:color w:val="auto"/>
                <w:kern w:val="2"/>
                <w:sz w:val="18"/>
                <w:szCs w:val="18"/>
                <w:highlight w:val="none"/>
                <w:lang w:val="en-US" w:eastAsia="zh-CN" w:bidi="ar-SA"/>
              </w:rPr>
            </w:pPr>
            <w:r>
              <w:rPr>
                <w:rFonts w:ascii="宋体" w:eastAsia="宋体" w:hAnsi="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宋体"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lang w:eastAsia="zh-CN"/>
              </w:rPr>
              <w:t>必</w:t>
            </w:r>
          </w:p>
        </w:tc>
        <w:tc>
          <w:tcPr>
            <w:tcW w:w="586" w:type="dxa"/>
            <w:tcBorders>
              <w:tl2br w:val="nil"/>
              <w:tr2bl w:val="nil"/>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after="0" w:line="240" w:lineRule="exact"/>
              <w:ind w:left="0" w:right="0" w:firstLine="36" w:leftChars="0" w:rightChars="0" w:firstLineChars="20"/>
              <w:jc w:val="center"/>
              <w:textAlignment w:val="auto"/>
              <w:outlineLvl w:val="9"/>
              <w:rPr>
                <w:rFonts w:ascii="宋体" w:eastAsia="宋体" w:hAnsi="宋体" w:cs="Times New Roman" w:hint="eastAsia"/>
                <w:bCs/>
                <w:color w:val="auto"/>
                <w:kern w:val="2"/>
                <w:sz w:val="18"/>
                <w:szCs w:val="18"/>
                <w:highlight w:val="none"/>
                <w:lang w:val="en-US" w:eastAsia="zh-CN" w:bidi="ar-SA"/>
              </w:rPr>
            </w:pPr>
            <w:r>
              <w:rPr>
                <w:rFonts w:ascii="宋体" w:eastAsia="宋体" w:hAnsi="宋体" w:cs="宋体" w:hint="eastAsia"/>
                <w:bCs/>
                <w:color w:val="auto"/>
                <w:sz w:val="18"/>
                <w:szCs w:val="18"/>
                <w:highlight w:val="none"/>
              </w:rPr>
              <w:t>查</w:t>
            </w:r>
          </w:p>
        </w:tc>
        <w:tc>
          <w:tcPr>
            <w:tcW w:w="1545"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eastAsia"/>
                <w:color w:val="auto"/>
                <w:sz w:val="18"/>
                <w:szCs w:val="18"/>
                <w:highlight w:val="none"/>
                <w:lang w:val="en-US" w:eastAsia="zh-CN"/>
              </w:rPr>
            </w:pPr>
            <w:r>
              <w:rPr>
                <w:rFonts w:ascii="宋体" w:hAnsi="宋体" w:hint="eastAsia"/>
                <w:color w:val="auto"/>
                <w:sz w:val="18"/>
                <w:szCs w:val="18"/>
                <w:highlight w:val="none"/>
                <w:lang w:val="en-US" w:eastAsia="zh-CN"/>
              </w:rPr>
              <w:t>621120</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专业实习</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5</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lang w:val="en-US" w:eastAsia="zh-CN"/>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1</w:t>
            </w:r>
            <w:r>
              <w:rPr>
                <w:rFonts w:ascii="宋体" w:hAnsi="宋体" w:hint="eastAsia"/>
                <w:bCs/>
                <w:color w:val="auto"/>
                <w:sz w:val="18"/>
                <w:szCs w:val="18"/>
                <w:highlight w:val="none"/>
                <w:lang w:val="en-US" w:eastAsia="zh-CN"/>
              </w:rPr>
              <w:t>6</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c>
          <w:tcPr>
            <w:tcW w:w="1545" w:type="dxa"/>
            <w:tcBorders>
              <w:tl2br w:val="nil"/>
              <w:tr2bl w:val="nil"/>
            </w:tcBorders>
            <w:shd w:val="clear" w:color="auto" w:fill="FFFFFF"/>
            <w:vAlign w:val="center"/>
          </w:tcPr>
          <w:p>
            <w:pPr>
              <w:widowControl/>
              <w:adjustRightInd w:val="0"/>
              <w:snapToGrid w:val="0"/>
              <w:ind w:firstLine="36" w:firstLineChars="20"/>
              <w:jc w:val="center"/>
              <w:rPr>
                <w:rFonts w:ascii="宋体" w:hAnsi="宋体" w:hint="eastAsia"/>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621112</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毕业实习</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Calibri" w:eastAsia="宋体" w:hAnsi="Calibri" w:cs="Times New Roman" w:hint="eastAsia"/>
                <w:color w:val="auto"/>
                <w:kern w:val="2"/>
                <w:sz w:val="21"/>
                <w:szCs w:val="22"/>
                <w:highlight w:val="none"/>
                <w:lang w:val="en-US" w:eastAsia="zh-CN" w:bidi="ar-SA"/>
              </w:rPr>
            </w:pPr>
            <w:r>
              <w:rPr>
                <w:rFonts w:ascii="宋体" w:hAnsi="宋体" w:hint="eastAsia"/>
                <w:bCs/>
                <w:color w:val="auto"/>
                <w:sz w:val="18"/>
                <w:szCs w:val="18"/>
                <w:highlight w:val="none"/>
              </w:rPr>
              <w:t>必</w:t>
            </w:r>
          </w:p>
        </w:tc>
        <w:tc>
          <w:tcPr>
            <w:tcW w:w="58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r>
              <w:rPr>
                <w:rFonts w:ascii="宋体" w:hAnsi="宋体" w:hint="eastAsia"/>
                <w:bCs/>
                <w:color w:val="auto"/>
                <w:sz w:val="18"/>
                <w:szCs w:val="18"/>
                <w:highlight w:val="none"/>
              </w:rPr>
              <w:t>查</w:t>
            </w:r>
          </w:p>
        </w:tc>
        <w:tc>
          <w:tcPr>
            <w:tcW w:w="1545"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宋体" w:cs="Times New Roman" w:hint="eastAsia"/>
                <w:bCs/>
                <w:color w:val="auto"/>
                <w:kern w:val="2"/>
                <w:sz w:val="18"/>
                <w:szCs w:val="18"/>
                <w:highlight w:val="none"/>
                <w:lang w:val="en-US" w:eastAsia="zh-CN" w:bidi="ar-SA"/>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autoSpaceDN w:val="0"/>
              <w:spacing w:line="260" w:lineRule="exact"/>
              <w:jc w:val="center"/>
              <w:textAlignment w:val="center"/>
              <w:rPr>
                <w:rFonts w:ascii="宋体" w:hAnsi="宋体" w:hint="default"/>
                <w:color w:val="auto"/>
                <w:sz w:val="18"/>
                <w:szCs w:val="18"/>
                <w:highlight w:val="none"/>
                <w:lang w:val="en-US" w:eastAsia="zh-CN"/>
              </w:rPr>
            </w:pPr>
            <w:r>
              <w:rPr>
                <w:rFonts w:ascii="宋体" w:hAnsi="宋体" w:hint="eastAsia"/>
                <w:color w:val="auto"/>
                <w:sz w:val="18"/>
                <w:szCs w:val="18"/>
                <w:highlight w:val="none"/>
                <w:lang w:val="en-US" w:eastAsia="zh-CN"/>
              </w:rPr>
              <w:t>621113</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毕业设计（论文）</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8</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必</w:t>
            </w:r>
          </w:p>
        </w:tc>
        <w:tc>
          <w:tcPr>
            <w:tcW w:w="586" w:type="dxa"/>
            <w:tcBorders>
              <w:tl2br w:val="nil"/>
              <w:tr2bl w:val="nil"/>
            </w:tcBorders>
            <w:shd w:val="clear" w:color="auto" w:fill="FFFFFF"/>
            <w:vAlign w:val="center"/>
          </w:tcPr>
          <w:p>
            <w:pPr>
              <w:adjustRightInd w:val="0"/>
              <w:snapToGrid w:val="0"/>
              <w:jc w:val="center"/>
              <w:rPr>
                <w:rFonts w:ascii="宋体" w:eastAsia="宋体" w:hAnsi="宋体" w:cs="Times New Roman"/>
                <w:bCs/>
                <w:color w:val="auto"/>
                <w:kern w:val="2"/>
                <w:sz w:val="18"/>
                <w:szCs w:val="18"/>
                <w:highlight w:val="none"/>
                <w:lang w:val="en-US" w:eastAsia="zh-CN" w:bidi="ar-SA"/>
              </w:rPr>
            </w:pPr>
            <w:r>
              <w:rPr>
                <w:rFonts w:ascii="宋体" w:hAnsi="宋体" w:hint="eastAsia"/>
                <w:bCs/>
                <w:color w:val="auto"/>
                <w:sz w:val="18"/>
                <w:szCs w:val="18"/>
                <w:highlight w:val="none"/>
              </w:rPr>
              <w:t>查</w:t>
            </w:r>
          </w:p>
        </w:tc>
        <w:tc>
          <w:tcPr>
            <w:tcW w:w="1545"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3625" w:type="dxa"/>
            <w:gridSpan w:val="2"/>
            <w:tcBorders>
              <w:tl2br w:val="nil"/>
              <w:tr2bl w:val="nil"/>
            </w:tcBorders>
            <w:shd w:val="clear" w:color="auto" w:fill="FFFFFF"/>
            <w:vAlign w:val="center"/>
          </w:tcPr>
          <w:p>
            <w:pPr>
              <w:widowControl/>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小计</w:t>
            </w:r>
          </w:p>
        </w:tc>
        <w:tc>
          <w:tcPr>
            <w:tcW w:w="586" w:type="dxa"/>
            <w:tcBorders>
              <w:tl2br w:val="nil"/>
              <w:tr2bl w:val="nil"/>
            </w:tcBorders>
            <w:shd w:val="clear" w:color="auto" w:fill="FFFFFF"/>
            <w:vAlign w:val="center"/>
          </w:tcPr>
          <w:p>
            <w:pPr>
              <w:adjustRightInd w:val="0"/>
              <w:snapToGrid w:val="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25</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hint="default"/>
                <w:bCs/>
                <w:color w:val="auto"/>
                <w:sz w:val="18"/>
                <w:szCs w:val="18"/>
                <w:highlight w:val="none"/>
                <w:lang w:val="en-US" w:eastAsia="zh-CN"/>
              </w:rPr>
            </w:pPr>
            <w:r>
              <w:rPr>
                <w:rFonts w:ascii="宋体" w:hAnsi="宋体" w:hint="eastAsia"/>
                <w:bCs/>
                <w:color w:val="auto"/>
                <w:sz w:val="18"/>
                <w:szCs w:val="18"/>
                <w:highlight w:val="none"/>
                <w:lang w:val="en-US" w:eastAsia="zh-CN"/>
              </w:rPr>
              <w:t>34</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jc w:val="center"/>
              <w:rPr>
                <w:color w:val="auto"/>
                <w:highlight w:val="none"/>
              </w:rPr>
            </w:pPr>
          </w:p>
        </w:tc>
        <w:tc>
          <w:tcPr>
            <w:tcW w:w="1545"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455"/>
          <w:jc w:val="center"/>
        </w:trPr>
        <w:tc>
          <w:tcPr>
            <w:tcW w:w="675" w:type="dxa"/>
            <w:vMerge/>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p>
        </w:tc>
        <w:tc>
          <w:tcPr>
            <w:tcW w:w="945" w:type="dxa"/>
            <w:vMerge w:val="restart"/>
            <w:tcBorders>
              <w:tl2br w:val="nil"/>
              <w:tr2bl w:val="nil"/>
            </w:tcBorders>
            <w:shd w:val="clear" w:color="auto" w:fill="auto"/>
            <w:vAlign w:val="center"/>
          </w:tcPr>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素质拓展</w:t>
            </w:r>
          </w:p>
          <w:p>
            <w:pPr>
              <w:adjustRightInd w:val="0"/>
              <w:snapToGrid w:val="0"/>
              <w:jc w:val="center"/>
              <w:rPr>
                <w:rFonts w:ascii="宋体" w:hAnsi="宋体" w:cs="宋体"/>
                <w:color w:val="auto"/>
                <w:kern w:val="0"/>
                <w:sz w:val="18"/>
                <w:szCs w:val="18"/>
                <w:highlight w:val="none"/>
              </w:rPr>
            </w:pPr>
            <w:r>
              <w:rPr>
                <w:rFonts w:ascii="宋体" w:hAnsi="宋体" w:cs="宋体" w:hint="eastAsia"/>
                <w:color w:val="auto"/>
                <w:kern w:val="0"/>
                <w:sz w:val="18"/>
                <w:szCs w:val="18"/>
                <w:highlight w:val="none"/>
              </w:rPr>
              <w:t>实践课程</w:t>
            </w:r>
          </w:p>
        </w:tc>
        <w:tc>
          <w:tcPr>
            <w:tcW w:w="1129" w:type="dxa"/>
            <w:tcBorders>
              <w:tl2br w:val="nil"/>
              <w:tr2bl w:val="nil"/>
            </w:tcBorders>
            <w:shd w:val="clear" w:color="auto" w:fill="FFFFFF"/>
            <w:vAlign w:val="center"/>
          </w:tcPr>
          <w:p>
            <w:pPr>
              <w:widowControl w:val="0"/>
              <w:adjustRightInd w:val="0"/>
              <w:snapToGrid w:val="0"/>
              <w:spacing w:after="0" w:line="240" w:lineRule="auto"/>
              <w:ind w:firstLine="36" w:firstLineChars="20"/>
              <w:jc w:val="center"/>
              <w:rPr>
                <w:rFonts w:ascii="宋体" w:eastAsia="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611040</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eastAsia="宋体" w:hint="eastAsia"/>
                <w:bCs/>
                <w:color w:val="auto"/>
                <w:sz w:val="18"/>
                <w:szCs w:val="18"/>
                <w:highlight w:val="none"/>
                <w:lang w:eastAsia="zh-CN"/>
              </w:rPr>
            </w:pPr>
            <w:r>
              <w:rPr>
                <w:rFonts w:ascii="宋体" w:hint="eastAsia"/>
                <w:bCs/>
                <w:color w:val="auto"/>
                <w:sz w:val="18"/>
                <w:szCs w:val="18"/>
                <w:highlight w:val="none"/>
                <w:lang w:eastAsia="zh-CN"/>
              </w:rPr>
              <w:t>劳动教育</w:t>
            </w:r>
          </w:p>
        </w:tc>
        <w:tc>
          <w:tcPr>
            <w:tcW w:w="586" w:type="dxa"/>
            <w:tcBorders>
              <w:tl2br w:val="nil"/>
              <w:tr2bl w:val="nil"/>
            </w:tcBorders>
            <w:shd w:val="clear" w:color="auto" w:fill="FFFFFF"/>
            <w:vAlign w:val="center"/>
          </w:tcPr>
          <w:p>
            <w:pPr>
              <w:adjustRightInd w:val="0"/>
              <w:snapToGrid w:val="0"/>
              <w:jc w:val="center"/>
              <w:rPr>
                <w:rFonts w:ascii="宋体"/>
                <w:bCs/>
                <w:color w:val="auto"/>
                <w:sz w:val="18"/>
                <w:szCs w:val="18"/>
                <w:highlight w:val="none"/>
              </w:rPr>
            </w:pPr>
            <w:r>
              <w:rPr>
                <w:rFonts w:ascii="宋体" w:hint="eastAsia"/>
                <w:bCs/>
                <w:color w:val="auto"/>
                <w:sz w:val="18"/>
                <w:szCs w:val="18"/>
                <w:highlight w:val="none"/>
              </w:rPr>
              <w:t>2</w:t>
            </w:r>
          </w:p>
        </w:tc>
        <w:tc>
          <w:tcPr>
            <w:tcW w:w="586" w:type="dxa"/>
            <w:tcBorders>
              <w:tl2br w:val="nil"/>
              <w:tr2bl w:val="nil"/>
            </w:tcBorders>
            <w:shd w:val="clear" w:color="auto" w:fill="FFFFFF"/>
            <w:vAlign w:val="center"/>
          </w:tcPr>
          <w:p>
            <w:pPr>
              <w:adjustRightInd w:val="0"/>
              <w:snapToGrid w:val="0"/>
              <w:jc w:val="center"/>
              <w:rPr>
                <w:rFonts w:ascii="宋体"/>
                <w:bCs/>
                <w:color w:val="auto"/>
                <w:sz w:val="18"/>
                <w:szCs w:val="18"/>
                <w:highlight w:val="none"/>
              </w:rPr>
            </w:pPr>
            <w:r>
              <w:rPr>
                <w:rFonts w:ascii="宋体" w:hint="eastAsia"/>
                <w:bCs/>
                <w:color w:val="auto"/>
                <w:sz w:val="18"/>
                <w:szCs w:val="18"/>
                <w:highlight w:val="none"/>
              </w:rPr>
              <w:t>1</w:t>
            </w:r>
          </w:p>
        </w:tc>
        <w:tc>
          <w:tcPr>
            <w:tcW w:w="586" w:type="dxa"/>
            <w:tcBorders>
              <w:tl2br w:val="nil"/>
              <w:tr2bl w:val="nil"/>
            </w:tcBorders>
            <w:shd w:val="clear" w:color="auto" w:fill="FFFFFF"/>
            <w:vAlign w:val="center"/>
          </w:tcPr>
          <w:p>
            <w:pPr>
              <w:adjustRightInd w:val="0"/>
              <w:snapToGrid w:val="0"/>
              <w:jc w:val="center"/>
              <w:rPr>
                <w:rFonts w:ascii="宋体"/>
                <w:bCs/>
                <w:color w:val="auto"/>
                <w:sz w:val="18"/>
                <w:szCs w:val="18"/>
                <w:highlight w:val="none"/>
              </w:rPr>
            </w:pPr>
            <w:r>
              <w:rPr>
                <w:rFonts w:ascii="宋体" w:hint="eastAsia"/>
                <w:bCs/>
                <w:color w:val="auto"/>
                <w:sz w:val="18"/>
                <w:szCs w:val="18"/>
                <w:highlight w:val="none"/>
              </w:rPr>
              <w:t>1</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bCs/>
                <w:color w:val="auto"/>
                <w:sz w:val="18"/>
                <w:szCs w:val="18"/>
                <w:highlight w:val="none"/>
              </w:rPr>
            </w:pPr>
            <w:r>
              <w:rPr>
                <w:rFonts w:ascii="宋体"/>
                <w:bCs/>
                <w:color w:val="auto"/>
                <w:sz w:val="18"/>
                <w:szCs w:val="18"/>
                <w:highlight w:val="none"/>
              </w:rPr>
              <w:t>必</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bCs/>
                <w:color w:val="auto"/>
                <w:sz w:val="18"/>
                <w:szCs w:val="18"/>
                <w:highlight w:val="none"/>
              </w:rPr>
            </w:pPr>
            <w:r>
              <w:rPr>
                <w:rFonts w:ascii="宋体"/>
                <w:bCs/>
                <w:color w:val="auto"/>
                <w:sz w:val="18"/>
                <w:szCs w:val="18"/>
                <w:highlight w:val="none"/>
              </w:rPr>
              <w:t>查</w:t>
            </w:r>
          </w:p>
        </w:tc>
        <w:tc>
          <w:tcPr>
            <w:tcW w:w="1545" w:type="dxa"/>
            <w:vMerge w:val="restart"/>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both"/>
              <w:textAlignment w:val="auto"/>
              <w:rPr>
                <w:rFonts w:ascii="宋体" w:hAnsi="宋体"/>
                <w:color w:val="auto"/>
                <w:sz w:val="18"/>
                <w:szCs w:val="18"/>
                <w:highlight w:val="none"/>
              </w:rPr>
            </w:pPr>
            <w:r>
              <w:rPr>
                <w:rFonts w:hint="eastAsia"/>
                <w:color w:val="auto"/>
                <w:sz w:val="18"/>
                <w:szCs w:val="20"/>
                <w:highlight w:val="none"/>
                <w:shd w:val="clear" w:color="auto" w:fill="auto"/>
                <w:lang w:eastAsia="zh-CN" w:bidi="ar"/>
              </w:rPr>
              <w:t>素质拓展实践课程</w:t>
            </w:r>
            <w:r>
              <w:rPr>
                <w:rFonts w:hint="eastAsia"/>
                <w:color w:val="auto"/>
                <w:sz w:val="18"/>
                <w:szCs w:val="20"/>
                <w:highlight w:val="none"/>
                <w:shd w:val="clear" w:color="auto" w:fill="auto"/>
                <w:lang w:bidi="ar"/>
              </w:rPr>
              <w:t>由学生处统筹规划，提供第二份成绩单存档。</w:t>
            </w: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widowControl/>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widowControl/>
              <w:jc w:val="center"/>
              <w:rPr>
                <w:rFonts w:ascii="宋体" w:hAnsi="宋体" w:cs="宋体"/>
                <w:color w:val="auto"/>
                <w:kern w:val="0"/>
                <w:sz w:val="18"/>
                <w:szCs w:val="18"/>
                <w:highlight w:val="none"/>
              </w:rPr>
            </w:pPr>
          </w:p>
        </w:tc>
        <w:tc>
          <w:tcPr>
            <w:tcW w:w="1129" w:type="dxa"/>
            <w:tcBorders>
              <w:tl2br w:val="nil"/>
              <w:tr2bl w:val="nil"/>
            </w:tcBorders>
            <w:shd w:val="clear" w:color="auto" w:fill="FFFFFF"/>
            <w:vAlign w:val="center"/>
          </w:tcPr>
          <w:p>
            <w:pPr>
              <w:widowControl w:val="0"/>
              <w:adjustRightInd w:val="0"/>
              <w:snapToGrid w:val="0"/>
              <w:spacing w:after="0" w:line="240" w:lineRule="auto"/>
              <w:ind w:firstLine="36" w:firstLineChars="20"/>
              <w:jc w:val="center"/>
              <w:rPr>
                <w:rFonts w:ascii="宋体" w:eastAsia="宋体" w:hAnsi="宋体" w:cs="Times New Roman" w:hint="default"/>
                <w:color w:val="auto"/>
                <w:kern w:val="2"/>
                <w:sz w:val="18"/>
                <w:szCs w:val="18"/>
                <w:lang w:val="en-US" w:eastAsia="zh-CN" w:bidi="ar-SA"/>
              </w:rPr>
            </w:pPr>
            <w:r>
              <w:rPr>
                <w:rFonts w:ascii="宋体" w:hAnsi="宋体" w:cs="Times New Roman" w:hint="eastAsia"/>
                <w:color w:val="auto"/>
                <w:kern w:val="2"/>
                <w:sz w:val="18"/>
                <w:szCs w:val="18"/>
                <w:lang w:val="en-US" w:eastAsia="zh-CN" w:bidi="ar-SA"/>
              </w:rPr>
              <w:t>621114</w:t>
            </w:r>
          </w:p>
        </w:tc>
        <w:tc>
          <w:tcPr>
            <w:tcW w:w="2496" w:type="dxa"/>
            <w:tcBorders>
              <w:tl2br w:val="nil"/>
              <w:tr2bl w:val="nil"/>
            </w:tcBorders>
            <w:shd w:val="clear" w:color="auto" w:fill="FFFFFF"/>
            <w:vAlign w:val="center"/>
          </w:tcPr>
          <w:p>
            <w:pPr>
              <w:widowControl/>
              <w:adjustRightInd w:val="0"/>
              <w:snapToGrid w:val="0"/>
              <w:ind w:firstLine="36" w:firstLineChars="20"/>
              <w:jc w:val="center"/>
              <w:rPr>
                <w:rFonts w:ascii="宋体"/>
                <w:bCs/>
                <w:color w:val="auto"/>
                <w:sz w:val="18"/>
                <w:szCs w:val="18"/>
                <w:highlight w:val="none"/>
              </w:rPr>
            </w:pPr>
            <w:r>
              <w:rPr>
                <w:rFonts w:ascii="宋体" w:hAnsi="宋体" w:hint="eastAsia"/>
                <w:bCs/>
                <w:color w:val="auto"/>
                <w:sz w:val="18"/>
                <w:szCs w:val="18"/>
                <w:highlight w:val="none"/>
              </w:rPr>
              <w:t>第二课堂</w:t>
            </w:r>
          </w:p>
        </w:tc>
        <w:tc>
          <w:tcPr>
            <w:tcW w:w="586" w:type="dxa"/>
            <w:tcBorders>
              <w:tl2br w:val="nil"/>
              <w:tr2bl w:val="nil"/>
            </w:tcBorders>
            <w:shd w:val="clear" w:color="auto" w:fill="FFFFFF"/>
            <w:vAlign w:val="center"/>
          </w:tcPr>
          <w:p>
            <w:pPr>
              <w:adjustRightInd w:val="0"/>
              <w:snapToGrid w:val="0"/>
              <w:jc w:val="center"/>
              <w:rPr>
                <w:rFonts w:ascii="宋体"/>
                <w:bCs/>
                <w:color w:val="auto"/>
                <w:sz w:val="18"/>
                <w:szCs w:val="18"/>
                <w:highlight w:val="none"/>
              </w:rPr>
            </w:pPr>
            <w:r>
              <w:rPr>
                <w:rFonts w:ascii="宋体" w:hAnsi="宋体"/>
                <w:bCs/>
                <w:color w:val="auto"/>
                <w:sz w:val="18"/>
                <w:szCs w:val="18"/>
                <w:highlight w:val="none"/>
              </w:rPr>
              <w:t>1-8</w:t>
            </w:r>
          </w:p>
        </w:tc>
        <w:tc>
          <w:tcPr>
            <w:tcW w:w="586" w:type="dxa"/>
            <w:tcBorders>
              <w:tl2br w:val="nil"/>
              <w:tr2bl w:val="nil"/>
            </w:tcBorders>
            <w:shd w:val="clear" w:color="auto" w:fill="FFFFFF"/>
            <w:vAlign w:val="center"/>
          </w:tcPr>
          <w:p>
            <w:pPr>
              <w:adjustRightInd w:val="0"/>
              <w:snapToGrid w:val="0"/>
              <w:jc w:val="center"/>
              <w:rPr>
                <w:rFonts w:ascii="宋体" w:eastAsia="宋体" w:hint="eastAsia"/>
                <w:bCs/>
                <w:color w:val="auto"/>
                <w:sz w:val="18"/>
                <w:szCs w:val="18"/>
                <w:highlight w:val="none"/>
                <w:lang w:eastAsia="zh-CN"/>
              </w:rPr>
            </w:pPr>
            <w:r>
              <w:rPr>
                <w:rFonts w:ascii="宋体" w:hAnsi="宋体" w:hint="eastAsia"/>
                <w:bCs/>
                <w:color w:val="auto"/>
                <w:sz w:val="18"/>
                <w:szCs w:val="18"/>
                <w:highlight w:val="none"/>
                <w:lang w:val="en-US" w:eastAsia="zh-CN"/>
              </w:rPr>
              <w:t>4</w:t>
            </w:r>
          </w:p>
        </w:tc>
        <w:tc>
          <w:tcPr>
            <w:tcW w:w="586" w:type="dxa"/>
            <w:tcBorders>
              <w:tl2br w:val="nil"/>
              <w:tr2bl w:val="nil"/>
            </w:tcBorders>
            <w:shd w:val="clear" w:color="auto" w:fill="FFFFFF"/>
            <w:vAlign w:val="center"/>
          </w:tcPr>
          <w:p>
            <w:pPr>
              <w:adjustRightInd w:val="0"/>
              <w:snapToGrid w:val="0"/>
              <w:jc w:val="center"/>
              <w:rPr>
                <w:rFonts w:asci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bCs/>
                <w:color w:val="auto"/>
                <w:sz w:val="18"/>
                <w:szCs w:val="18"/>
                <w:highlight w:val="none"/>
              </w:rPr>
            </w:pPr>
            <w:r>
              <w:rPr>
                <w:rFonts w:ascii="宋体"/>
                <w:bCs/>
                <w:color w:val="auto"/>
                <w:sz w:val="18"/>
                <w:szCs w:val="18"/>
                <w:highlight w:val="none"/>
              </w:rPr>
              <w:t>必</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bCs/>
                <w:color w:val="auto"/>
                <w:sz w:val="18"/>
                <w:szCs w:val="18"/>
                <w:highlight w:val="none"/>
              </w:rPr>
            </w:pPr>
            <w:r>
              <w:rPr>
                <w:rFonts w:ascii="宋体"/>
                <w:bCs/>
                <w:color w:val="auto"/>
                <w:sz w:val="18"/>
                <w:szCs w:val="18"/>
                <w:highlight w:val="none"/>
              </w:rPr>
              <w:t>查</w:t>
            </w:r>
          </w:p>
        </w:tc>
        <w:tc>
          <w:tcPr>
            <w:tcW w:w="1545" w:type="dxa"/>
            <w:vMerge/>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widowControl/>
              <w:spacing w:line="200" w:lineRule="exact"/>
              <w:jc w:val="center"/>
              <w:rPr>
                <w:rFonts w:ascii="宋体" w:hAnsi="宋体" w:cs="宋体"/>
                <w:color w:val="auto"/>
                <w:kern w:val="0"/>
                <w:sz w:val="18"/>
                <w:szCs w:val="18"/>
                <w:highlight w:val="none"/>
              </w:rPr>
            </w:pPr>
          </w:p>
        </w:tc>
        <w:tc>
          <w:tcPr>
            <w:tcW w:w="945" w:type="dxa"/>
            <w:vMerge/>
            <w:tcBorders>
              <w:tl2br w:val="nil"/>
              <w:tr2bl w:val="nil"/>
            </w:tcBorders>
            <w:shd w:val="clear" w:color="auto" w:fill="auto"/>
            <w:vAlign w:val="center"/>
          </w:tcPr>
          <w:p>
            <w:pPr>
              <w:widowControl/>
              <w:spacing w:line="200" w:lineRule="exact"/>
              <w:jc w:val="center"/>
              <w:rPr>
                <w:rFonts w:ascii="宋体" w:hAnsi="宋体" w:cs="宋体"/>
                <w:color w:val="auto"/>
                <w:kern w:val="0"/>
                <w:sz w:val="18"/>
                <w:szCs w:val="18"/>
                <w:highlight w:val="none"/>
              </w:rPr>
            </w:pPr>
          </w:p>
        </w:tc>
        <w:tc>
          <w:tcPr>
            <w:tcW w:w="3625" w:type="dxa"/>
            <w:gridSpan w:val="2"/>
            <w:tcBorders>
              <w:tl2br w:val="nil"/>
              <w:tr2bl w:val="nil"/>
            </w:tcBorders>
            <w:shd w:val="clear" w:color="auto" w:fill="FFFFFF"/>
            <w:vAlign w:val="center"/>
          </w:tcPr>
          <w:p>
            <w:pPr>
              <w:widowControl/>
              <w:adjustRightInd w:val="0"/>
              <w:snapToGrid w:val="0"/>
              <w:ind w:firstLine="36" w:firstLineChars="20"/>
              <w:jc w:val="center"/>
              <w:rPr>
                <w:rFonts w:ascii="宋体" w:hAnsi="宋体"/>
                <w:bCs/>
                <w:color w:val="auto"/>
                <w:sz w:val="18"/>
                <w:szCs w:val="18"/>
                <w:highlight w:val="none"/>
              </w:rPr>
            </w:pPr>
            <w:r>
              <w:rPr>
                <w:rFonts w:ascii="宋体" w:hAnsi="宋体" w:hint="eastAsia"/>
                <w:bCs/>
                <w:color w:val="auto"/>
                <w:sz w:val="18"/>
                <w:szCs w:val="18"/>
                <w:highlight w:val="none"/>
              </w:rPr>
              <w:t>小计</w:t>
            </w:r>
          </w:p>
        </w:tc>
        <w:tc>
          <w:tcPr>
            <w:tcW w:w="586" w:type="dxa"/>
            <w:tcBorders>
              <w:tl2br w:val="nil"/>
              <w:tr2bl w:val="nil"/>
            </w:tcBorders>
            <w:shd w:val="clear" w:color="auto" w:fill="FFFFFF"/>
            <w:vAlign w:val="center"/>
          </w:tcPr>
          <w:p>
            <w:pPr>
              <w:adjustRightInd w:val="0"/>
              <w:snapToGrid w:val="0"/>
              <w:spacing w:line="200" w:lineRule="exact"/>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spacing w:line="200" w:lineRule="exact"/>
              <w:jc w:val="center"/>
              <w:rPr>
                <w:rFonts w:ascii="宋体" w:eastAsia="宋体" w:hAnsi="宋体" w:hint="eastAsia"/>
                <w:bCs/>
                <w:color w:val="auto"/>
                <w:sz w:val="18"/>
                <w:szCs w:val="18"/>
                <w:highlight w:val="none"/>
                <w:lang w:val="en-US" w:eastAsia="zh-CN"/>
              </w:rPr>
            </w:pPr>
            <w:r>
              <w:rPr>
                <w:rFonts w:ascii="宋体" w:hAnsi="宋体" w:hint="eastAsia"/>
                <w:bCs/>
                <w:color w:val="auto"/>
                <w:sz w:val="18"/>
                <w:szCs w:val="18"/>
                <w:highlight w:val="none"/>
                <w:lang w:val="en-US" w:eastAsia="zh-CN"/>
              </w:rPr>
              <w:t>5</w:t>
            </w:r>
          </w:p>
        </w:tc>
        <w:tc>
          <w:tcPr>
            <w:tcW w:w="586" w:type="dxa"/>
            <w:tcBorders>
              <w:tl2br w:val="nil"/>
              <w:tr2bl w:val="nil"/>
            </w:tcBorders>
            <w:shd w:val="clear" w:color="auto" w:fill="FFFFFF"/>
            <w:vAlign w:val="center"/>
          </w:tcPr>
          <w:p>
            <w:pPr>
              <w:adjustRightInd w:val="0"/>
              <w:snapToGrid w:val="0"/>
              <w:spacing w:line="200" w:lineRule="exact"/>
              <w:ind w:firstLine="36" w:firstLineChars="20"/>
              <w:jc w:val="center"/>
              <w:rPr>
                <w:rFonts w:ascii="宋体" w:eastAsia="宋体" w:hAnsi="宋体" w:hint="eastAsia"/>
                <w:bCs/>
                <w:color w:val="auto"/>
                <w:sz w:val="18"/>
                <w:szCs w:val="18"/>
                <w:highlight w:val="none"/>
                <w:lang w:val="en-US" w:eastAsia="zh-CN"/>
              </w:rPr>
            </w:pPr>
            <w:r>
              <w:rPr>
                <w:rFonts w:ascii="宋体" w:hAnsi="宋体" w:hint="eastAsia"/>
                <w:bCs/>
                <w:color w:val="auto"/>
                <w:sz w:val="18"/>
                <w:szCs w:val="18"/>
                <w:highlight w:val="none"/>
                <w:lang w:val="en-US" w:eastAsia="zh-CN"/>
              </w:rPr>
              <w:t>1</w:t>
            </w:r>
          </w:p>
        </w:tc>
        <w:tc>
          <w:tcPr>
            <w:tcW w:w="586" w:type="dxa"/>
            <w:tcBorders>
              <w:tl2br w:val="nil"/>
              <w:tr2bl w:val="nil"/>
            </w:tcBorders>
            <w:shd w:val="clear" w:color="auto" w:fill="FFFFFF"/>
            <w:vAlign w:val="center"/>
          </w:tcPr>
          <w:p>
            <w:pPr>
              <w:adjustRightInd w:val="0"/>
              <w:snapToGrid w:val="0"/>
              <w:spacing w:line="200" w:lineRule="exact"/>
              <w:ind w:firstLine="36" w:firstLineChars="2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spacing w:line="200" w:lineRule="exact"/>
              <w:ind w:firstLine="36" w:firstLineChars="20"/>
              <w:jc w:val="center"/>
              <w:rPr>
                <w:rFonts w:ascii="宋体" w:hAnsi="宋体"/>
                <w:bCs/>
                <w:color w:val="auto"/>
                <w:sz w:val="18"/>
                <w:szCs w:val="18"/>
                <w:highlight w:val="none"/>
              </w:rPr>
            </w:pPr>
          </w:p>
        </w:tc>
        <w:tc>
          <w:tcPr>
            <w:tcW w:w="1545" w:type="dxa"/>
            <w:tcBorders>
              <w:tl2br w:val="nil"/>
              <w:tr2bl w:val="nil"/>
            </w:tcBorders>
            <w:shd w:val="clear" w:color="auto" w:fill="FFFFFF"/>
            <w:vAlign w:val="center"/>
          </w:tcPr>
          <w:p>
            <w:pPr>
              <w:adjustRightInd w:val="0"/>
              <w:snapToGrid w:val="0"/>
              <w:spacing w:line="200" w:lineRule="exact"/>
              <w:ind w:firstLine="36" w:firstLineChars="20"/>
              <w:jc w:val="center"/>
              <w:rPr>
                <w:rFonts w:ascii="宋体" w:hAnsi="宋体"/>
                <w:bCs/>
                <w:color w:val="auto"/>
                <w:sz w:val="18"/>
                <w:szCs w:val="18"/>
                <w:highlight w:val="none"/>
              </w:rPr>
            </w:pPr>
          </w:p>
        </w:tc>
      </w:tr>
      <w:tr>
        <w:tblPrEx>
          <w:tblW w:w="9720" w:type="dxa"/>
          <w:jc w:val="center"/>
          <w:tblLayout w:type="fixed"/>
          <w:tblCellMar>
            <w:top w:w="0" w:type="dxa"/>
            <w:left w:w="0" w:type="dxa"/>
            <w:bottom w:w="0" w:type="dxa"/>
            <w:right w:w="0" w:type="dxa"/>
          </w:tblCellMar>
          <w:tblLook w:val="0000"/>
        </w:tblPrEx>
        <w:trPr>
          <w:trHeight w:val="340"/>
          <w:jc w:val="center"/>
        </w:trPr>
        <w:tc>
          <w:tcPr>
            <w:tcW w:w="675" w:type="dxa"/>
            <w:vMerge/>
            <w:tcBorders>
              <w:tl2br w:val="nil"/>
              <w:tr2bl w:val="nil"/>
            </w:tcBorders>
            <w:shd w:val="clear" w:color="auto" w:fill="auto"/>
            <w:vAlign w:val="center"/>
          </w:tcPr>
          <w:p>
            <w:pPr>
              <w:widowControl/>
              <w:jc w:val="center"/>
              <w:rPr>
                <w:rFonts w:ascii="宋体" w:hAnsi="宋体" w:cs="宋体"/>
                <w:color w:val="auto"/>
                <w:kern w:val="0"/>
                <w:sz w:val="18"/>
                <w:szCs w:val="18"/>
                <w:highlight w:val="none"/>
              </w:rPr>
            </w:pPr>
          </w:p>
        </w:tc>
        <w:tc>
          <w:tcPr>
            <w:tcW w:w="4570" w:type="dxa"/>
            <w:gridSpan w:val="3"/>
            <w:tcBorders>
              <w:tl2br w:val="nil"/>
              <w:tr2bl w:val="nil"/>
            </w:tcBorders>
            <w:shd w:val="clear" w:color="auto" w:fill="FFFFFF"/>
            <w:vAlign w:val="center"/>
          </w:tcPr>
          <w:p>
            <w:pPr>
              <w:widowControl/>
              <w:adjustRightInd w:val="0"/>
              <w:snapToGrid w:val="0"/>
              <w:ind w:firstLine="36" w:firstLineChars="20"/>
              <w:jc w:val="center"/>
              <w:rPr>
                <w:rFonts w:ascii="宋体" w:hAnsi="宋体"/>
                <w:b/>
                <w:bCs w:val="0"/>
                <w:color w:val="auto"/>
                <w:sz w:val="18"/>
                <w:szCs w:val="18"/>
                <w:highlight w:val="none"/>
              </w:rPr>
            </w:pPr>
            <w:r>
              <w:rPr>
                <w:rFonts w:ascii="宋体" w:hAnsi="宋体" w:hint="eastAsia"/>
                <w:b/>
                <w:bCs w:val="0"/>
                <w:color w:val="auto"/>
                <w:sz w:val="18"/>
                <w:szCs w:val="18"/>
                <w:highlight w:val="none"/>
              </w:rPr>
              <w:t>合计</w:t>
            </w:r>
          </w:p>
        </w:tc>
        <w:tc>
          <w:tcPr>
            <w:tcW w:w="586" w:type="dxa"/>
            <w:tcBorders>
              <w:tl2br w:val="nil"/>
              <w:tr2bl w:val="nil"/>
            </w:tcBorders>
            <w:shd w:val="clear" w:color="auto" w:fill="FFFFFF"/>
            <w:vAlign w:val="center"/>
          </w:tcPr>
          <w:p>
            <w:pPr>
              <w:adjustRightInd w:val="0"/>
              <w:snapToGrid w:val="0"/>
              <w:jc w:val="center"/>
              <w:rPr>
                <w:rFonts w:ascii="宋体" w:hAnsi="宋体"/>
                <w:b/>
                <w:bCs w:val="0"/>
                <w:color w:val="auto"/>
                <w:sz w:val="18"/>
                <w:szCs w:val="18"/>
                <w:highlight w:val="none"/>
              </w:rPr>
            </w:pPr>
          </w:p>
        </w:tc>
        <w:tc>
          <w:tcPr>
            <w:tcW w:w="586" w:type="dxa"/>
            <w:tcBorders>
              <w:tl2br w:val="nil"/>
              <w:tr2bl w:val="nil"/>
            </w:tcBorders>
            <w:shd w:val="clear" w:color="auto" w:fill="FFFFFF"/>
            <w:vAlign w:val="center"/>
          </w:tcPr>
          <w:p>
            <w:pPr>
              <w:adjustRightInd w:val="0"/>
              <w:snapToGrid w:val="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37</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eastAsia="宋体" w:hAnsi="宋体" w:hint="default"/>
                <w:b/>
                <w:bCs w:val="0"/>
                <w:color w:val="auto"/>
                <w:sz w:val="18"/>
                <w:szCs w:val="18"/>
                <w:highlight w:val="none"/>
                <w:lang w:val="en-US" w:eastAsia="zh-CN"/>
              </w:rPr>
            </w:pPr>
            <w:r>
              <w:rPr>
                <w:rFonts w:ascii="宋体" w:hAnsi="宋体" w:hint="eastAsia"/>
                <w:b/>
                <w:bCs w:val="0"/>
                <w:color w:val="auto"/>
                <w:sz w:val="18"/>
                <w:szCs w:val="18"/>
                <w:highlight w:val="none"/>
                <w:lang w:val="en-US" w:eastAsia="zh-CN"/>
              </w:rPr>
              <w:t>39</w:t>
            </w: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c>
          <w:tcPr>
            <w:tcW w:w="586"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c>
          <w:tcPr>
            <w:tcW w:w="1545" w:type="dxa"/>
            <w:tcBorders>
              <w:tl2br w:val="nil"/>
              <w:tr2bl w:val="nil"/>
            </w:tcBorders>
            <w:shd w:val="clear" w:color="auto" w:fill="FFFFFF"/>
            <w:vAlign w:val="center"/>
          </w:tcPr>
          <w:p>
            <w:pPr>
              <w:adjustRightInd w:val="0"/>
              <w:snapToGrid w:val="0"/>
              <w:ind w:firstLine="36" w:firstLineChars="20"/>
              <w:jc w:val="center"/>
              <w:rPr>
                <w:rFonts w:ascii="宋体" w:hAnsi="宋体"/>
                <w:bCs/>
                <w:color w:val="auto"/>
                <w:sz w:val="18"/>
                <w:szCs w:val="18"/>
                <w:highlight w:val="none"/>
              </w:rPr>
            </w:pPr>
          </w:p>
        </w:tc>
      </w:tr>
    </w:tbl>
    <w:p>
      <w:pPr>
        <w:keepNext w:val="0"/>
        <w:keepLines w:val="0"/>
        <w:pageBreakBefore w:val="0"/>
        <w:widowControl/>
        <w:kinsoku/>
        <w:wordWrap/>
        <w:overflowPunct/>
        <w:topLinePunct w:val="0"/>
        <w:bidi w:val="0"/>
        <w:spacing w:beforeAutospacing="0" w:afterAutospacing="0" w:line="520" w:lineRule="exact"/>
        <w:jc w:val="left"/>
        <w:rPr>
          <w:rFonts w:ascii="仿宋_GB2312" w:eastAsia="仿宋_GB2312" w:hAnsi="仿宋_GB2312"/>
          <w:color w:val="auto"/>
          <w:sz w:val="30"/>
          <w:szCs w:val="30"/>
          <w:highlight w:val="none"/>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hint="eastAsia"/>
          <w:sz w:val="36"/>
          <w:lang w:val="en-US" w:eastAsia="zh-CN"/>
        </w:rPr>
      </w:pPr>
    </w:p>
    <w:p>
      <w:pPr>
        <w:pStyle w:val="BodyText"/>
        <w:numPr>
          <w:ilvl w:val="0"/>
          <w:numId w:val="0"/>
        </w:numPr>
        <w:spacing w:before="8"/>
        <w:jc w:val="center"/>
        <w:rPr>
          <w:rFonts w:ascii="黑体" w:eastAsia="黑体" w:hint="eastAsia"/>
          <w:sz w:val="36"/>
          <w:lang w:eastAsia="zh-CN"/>
        </w:rPr>
      </w:pPr>
      <w:r>
        <w:rPr>
          <w:rFonts w:hint="eastAsia"/>
          <w:sz w:val="36"/>
          <w:lang w:val="en-US" w:eastAsia="zh-CN"/>
        </w:rPr>
        <w:t>5.</w:t>
      </w:r>
      <w:r>
        <w:rPr>
          <w:rFonts w:ascii="黑体" w:eastAsia="黑体" w:hint="eastAsia"/>
          <w:sz w:val="36"/>
          <w:lang w:eastAsia="zh-CN"/>
        </w:rPr>
        <w:t>教师及课程基本情况表</w:t>
      </w:r>
    </w:p>
    <w:p>
      <w:pPr>
        <w:spacing w:before="197"/>
        <w:ind w:left="218"/>
        <w:rPr>
          <w:color w:val="auto"/>
          <w:sz w:val="24"/>
        </w:rPr>
      </w:pPr>
      <w:r>
        <w:rPr>
          <w:rFonts w:ascii="Microsoft JhengHei" w:eastAsia="宋体" w:hint="eastAsia"/>
          <w:b/>
          <w:color w:val="auto"/>
          <w:w w:val="110"/>
          <w:sz w:val="28"/>
          <w:lang w:val="en-US" w:eastAsia="zh-CN"/>
        </w:rPr>
        <w:t>5.1</w:t>
      </w:r>
      <w:r>
        <w:rPr>
          <w:rFonts w:ascii="Microsoft JhengHei" w:eastAsia="Microsoft JhengHei" w:hint="eastAsia"/>
          <w:b/>
          <w:color w:val="auto"/>
          <w:w w:val="110"/>
          <w:sz w:val="28"/>
        </w:rPr>
        <w:t>专业核心课程表</w:t>
      </w:r>
    </w:p>
    <w:tbl>
      <w:tblPr>
        <w:tblStyle w:val="TableNormal"/>
        <w:tblW w:w="0" w:type="auto"/>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3548"/>
        <w:gridCol w:w="1287"/>
        <w:gridCol w:w="1097"/>
        <w:gridCol w:w="2343"/>
        <w:gridCol w:w="1299"/>
      </w:tblGrid>
      <w:tr>
        <w:tblPrEx>
          <w:tblW w:w="0" w:type="auto"/>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741"/>
          <w:jc w:val="center"/>
        </w:trPr>
        <w:tc>
          <w:tcPr>
            <w:tcW w:w="3548" w:type="dxa"/>
          </w:tcPr>
          <w:p>
            <w:pPr>
              <w:pStyle w:val="TableParagraph"/>
              <w:spacing w:before="191"/>
              <w:ind w:left="1273" w:right="1265"/>
              <w:jc w:val="center"/>
              <w:rPr>
                <w:rFonts w:ascii="Microsoft JhengHei" w:eastAsia="Microsoft JhengHei" w:hint="eastAsia"/>
                <w:b/>
                <w:sz w:val="24"/>
              </w:rPr>
            </w:pPr>
            <w:r>
              <w:rPr>
                <w:rFonts w:ascii="Microsoft JhengHei" w:eastAsia="Microsoft JhengHei" w:hint="eastAsia"/>
                <w:b/>
                <w:sz w:val="24"/>
              </w:rPr>
              <w:t>课程名称</w:t>
            </w:r>
          </w:p>
        </w:tc>
        <w:tc>
          <w:tcPr>
            <w:tcW w:w="1287" w:type="dxa"/>
          </w:tcPr>
          <w:p>
            <w:pPr>
              <w:pStyle w:val="TableParagraph"/>
              <w:spacing w:before="128" w:line="170" w:lineRule="auto"/>
              <w:ind w:left="280" w:right="272" w:firstLine="120"/>
              <w:rPr>
                <w:rFonts w:ascii="Microsoft JhengHei" w:eastAsia="Microsoft JhengHei" w:hint="eastAsia"/>
                <w:b/>
                <w:sz w:val="24"/>
              </w:rPr>
            </w:pPr>
            <w:r>
              <w:rPr>
                <w:rFonts w:ascii="Microsoft JhengHei" w:eastAsia="Microsoft JhengHei" w:hint="eastAsia"/>
                <w:b/>
                <w:sz w:val="24"/>
              </w:rPr>
              <w:t>课程总学时</w:t>
            </w:r>
          </w:p>
        </w:tc>
        <w:tc>
          <w:tcPr>
            <w:tcW w:w="1097" w:type="dxa"/>
          </w:tcPr>
          <w:p>
            <w:pPr>
              <w:pStyle w:val="TableParagraph"/>
              <w:spacing w:before="128" w:line="170" w:lineRule="auto"/>
              <w:ind w:left="186" w:right="176" w:firstLine="120"/>
              <w:rPr>
                <w:rFonts w:ascii="Microsoft JhengHei" w:eastAsia="Microsoft JhengHei" w:hint="eastAsia"/>
                <w:b/>
                <w:sz w:val="24"/>
              </w:rPr>
            </w:pPr>
            <w:r>
              <w:rPr>
                <w:rFonts w:ascii="Microsoft JhengHei" w:eastAsia="Microsoft JhengHei" w:hint="eastAsia"/>
                <w:b/>
                <w:sz w:val="24"/>
              </w:rPr>
              <w:t>课程周学时</w:t>
            </w:r>
          </w:p>
        </w:tc>
        <w:tc>
          <w:tcPr>
            <w:tcW w:w="2343" w:type="dxa"/>
          </w:tcPr>
          <w:p>
            <w:pPr>
              <w:pStyle w:val="TableParagraph"/>
              <w:spacing w:before="191"/>
              <w:ind w:left="565"/>
              <w:rPr>
                <w:rFonts w:ascii="Microsoft JhengHei" w:eastAsia="Microsoft JhengHei" w:hint="eastAsia"/>
                <w:b/>
                <w:sz w:val="24"/>
              </w:rPr>
            </w:pPr>
            <w:r>
              <w:rPr>
                <w:rFonts w:ascii="Microsoft JhengHei" w:eastAsia="Microsoft JhengHei" w:hint="eastAsia"/>
                <w:b/>
                <w:sz w:val="24"/>
              </w:rPr>
              <w:t>拟授课教师</w:t>
            </w:r>
          </w:p>
        </w:tc>
        <w:tc>
          <w:tcPr>
            <w:tcW w:w="1299" w:type="dxa"/>
          </w:tcPr>
          <w:p>
            <w:pPr>
              <w:pStyle w:val="TableParagraph"/>
              <w:spacing w:before="191"/>
              <w:ind w:left="162"/>
              <w:rPr>
                <w:rFonts w:ascii="Microsoft JhengHei" w:eastAsia="Microsoft JhengHei" w:hint="eastAsia"/>
                <w:b/>
                <w:sz w:val="24"/>
              </w:rPr>
            </w:pPr>
            <w:r>
              <w:rPr>
                <w:rFonts w:ascii="Microsoft JhengHei" w:eastAsia="Microsoft JhengHei" w:hint="eastAsia"/>
                <w:b/>
                <w:sz w:val="24"/>
              </w:rPr>
              <w:t>授课学期</w:t>
            </w:r>
          </w:p>
        </w:tc>
      </w:tr>
      <w:tr>
        <w:tblPrEx>
          <w:tblW w:w="0" w:type="auto"/>
          <w:jc w:val="center"/>
          <w:tblInd w:w="116" w:type="dxa"/>
          <w:tblLayout w:type="fixed"/>
          <w:tblCellMar>
            <w:top w:w="0" w:type="dxa"/>
            <w:left w:w="0" w:type="dxa"/>
            <w:bottom w:w="0" w:type="dxa"/>
            <w:right w:w="0" w:type="dxa"/>
          </w:tblCellMar>
          <w:tblLook w:val="0000"/>
        </w:tblPrEx>
        <w:trPr>
          <w:trHeight w:val="480"/>
          <w:jc w:val="center"/>
        </w:trPr>
        <w:tc>
          <w:tcPr>
            <w:tcW w:w="3548"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表演</w:t>
            </w:r>
          </w:p>
        </w:tc>
        <w:tc>
          <w:tcPr>
            <w:tcW w:w="128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256</w:t>
            </w:r>
          </w:p>
        </w:tc>
        <w:tc>
          <w:tcPr>
            <w:tcW w:w="1097"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4</w:t>
            </w:r>
          </w:p>
        </w:tc>
        <w:tc>
          <w:tcPr>
            <w:tcW w:w="2343"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韩英杰、王荣</w:t>
            </w:r>
          </w:p>
        </w:tc>
        <w:tc>
          <w:tcPr>
            <w:tcW w:w="1299"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2,3,6,7</w:t>
            </w:r>
          </w:p>
        </w:tc>
      </w:tr>
      <w:tr>
        <w:tblPrEx>
          <w:tblW w:w="0" w:type="auto"/>
          <w:jc w:val="center"/>
          <w:tblInd w:w="116" w:type="dxa"/>
          <w:tblLayout w:type="fixed"/>
          <w:tblCellMar>
            <w:top w:w="0" w:type="dxa"/>
            <w:left w:w="0" w:type="dxa"/>
            <w:bottom w:w="0" w:type="dxa"/>
            <w:right w:w="0" w:type="dxa"/>
          </w:tblCellMar>
          <w:tblLook w:val="0000"/>
        </w:tblPrEx>
        <w:trPr>
          <w:trHeight w:val="480"/>
          <w:jc w:val="center"/>
        </w:trPr>
        <w:tc>
          <w:tcPr>
            <w:tcW w:w="3548"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中国民族民间舞</w:t>
            </w:r>
          </w:p>
        </w:tc>
        <w:tc>
          <w:tcPr>
            <w:tcW w:w="128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64</w:t>
            </w:r>
          </w:p>
        </w:tc>
        <w:tc>
          <w:tcPr>
            <w:tcW w:w="1097"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2</w:t>
            </w:r>
          </w:p>
        </w:tc>
        <w:tc>
          <w:tcPr>
            <w:tcW w:w="2343"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杨鹏琳、马川</w:t>
            </w:r>
          </w:p>
        </w:tc>
        <w:tc>
          <w:tcPr>
            <w:tcW w:w="1299"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2,4</w:t>
            </w:r>
          </w:p>
        </w:tc>
      </w:tr>
      <w:tr>
        <w:tblPrEx>
          <w:tblW w:w="0" w:type="auto"/>
          <w:jc w:val="center"/>
          <w:tblInd w:w="116" w:type="dxa"/>
          <w:tblLayout w:type="fixed"/>
          <w:tblCellMar>
            <w:top w:w="0" w:type="dxa"/>
            <w:left w:w="0" w:type="dxa"/>
            <w:bottom w:w="0" w:type="dxa"/>
            <w:right w:w="0" w:type="dxa"/>
          </w:tblCellMar>
          <w:tblLook w:val="0000"/>
        </w:tblPrEx>
        <w:trPr>
          <w:trHeight w:val="480"/>
          <w:jc w:val="center"/>
        </w:trPr>
        <w:tc>
          <w:tcPr>
            <w:tcW w:w="3548"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台词</w:t>
            </w:r>
          </w:p>
        </w:tc>
        <w:tc>
          <w:tcPr>
            <w:tcW w:w="128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64</w:t>
            </w:r>
          </w:p>
        </w:tc>
        <w:tc>
          <w:tcPr>
            <w:tcW w:w="1097"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4</w:t>
            </w:r>
          </w:p>
        </w:tc>
        <w:tc>
          <w:tcPr>
            <w:tcW w:w="2343" w:type="dxa"/>
            <w:vAlign w:val="center"/>
          </w:tcPr>
          <w:p>
            <w:pPr>
              <w:widowControl/>
              <w:jc w:val="center"/>
              <w:textAlignment w:val="center"/>
              <w:rPr>
                <w:rFonts w:ascii="Times New Roman" w:hint="eastAsia"/>
                <w:sz w:val="24"/>
                <w:lang w:val="en-US" w:eastAsia="zh-CN"/>
              </w:rPr>
            </w:pPr>
            <w:r>
              <w:rPr>
                <w:rFonts w:ascii="Times New Roman" w:hint="eastAsia"/>
                <w:sz w:val="24"/>
                <w:lang w:val="en-US" w:eastAsia="zh-CN"/>
              </w:rPr>
              <w:t>韦田</w:t>
            </w:r>
          </w:p>
        </w:tc>
        <w:tc>
          <w:tcPr>
            <w:tcW w:w="1299" w:type="dxa"/>
            <w:vAlign w:val="center"/>
          </w:tcPr>
          <w:p>
            <w:pPr>
              <w:widowControl/>
              <w:jc w:val="center"/>
              <w:textAlignment w:val="center"/>
              <w:rPr>
                <w:rFonts w:ascii="Times New Roman" w:hint="eastAsia"/>
                <w:sz w:val="24"/>
                <w:lang w:val="en-US" w:eastAsia="zh-CN"/>
              </w:rPr>
            </w:pPr>
            <w:r>
              <w:rPr>
                <w:rFonts w:ascii="Times New Roman" w:hint="eastAsia"/>
                <w:sz w:val="24"/>
                <w:lang w:val="en-US" w:eastAsia="zh-CN"/>
              </w:rPr>
              <w:t>3</w:t>
            </w:r>
          </w:p>
        </w:tc>
      </w:tr>
      <w:tr>
        <w:tblPrEx>
          <w:tblW w:w="0" w:type="auto"/>
          <w:jc w:val="center"/>
          <w:tblInd w:w="116" w:type="dxa"/>
          <w:tblLayout w:type="fixed"/>
          <w:tblCellMar>
            <w:top w:w="0" w:type="dxa"/>
            <w:left w:w="0" w:type="dxa"/>
            <w:bottom w:w="0" w:type="dxa"/>
            <w:right w:w="0" w:type="dxa"/>
          </w:tblCellMar>
          <w:tblLook w:val="0000"/>
        </w:tblPrEx>
        <w:trPr>
          <w:trHeight w:val="480"/>
          <w:jc w:val="center"/>
        </w:trPr>
        <w:tc>
          <w:tcPr>
            <w:tcW w:w="3548"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视唱练耳</w:t>
            </w:r>
          </w:p>
        </w:tc>
        <w:tc>
          <w:tcPr>
            <w:tcW w:w="128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32</w:t>
            </w:r>
          </w:p>
        </w:tc>
        <w:tc>
          <w:tcPr>
            <w:tcW w:w="1097"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2</w:t>
            </w:r>
          </w:p>
        </w:tc>
        <w:tc>
          <w:tcPr>
            <w:tcW w:w="2343"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刘智慧</w:t>
            </w:r>
          </w:p>
        </w:tc>
        <w:tc>
          <w:tcPr>
            <w:tcW w:w="1299" w:type="dxa"/>
            <w:vAlign w:val="center"/>
          </w:tcPr>
          <w:p>
            <w:pPr>
              <w:widowControl/>
              <w:jc w:val="center"/>
              <w:textAlignment w:val="center"/>
              <w:rPr>
                <w:rFonts w:eastAsia="宋体" w:hint="eastAsia"/>
                <w:color w:val="000000"/>
                <w:lang w:val="en-US" w:eastAsia="zh-CN" w:bidi="ar"/>
              </w:rPr>
            </w:pPr>
            <w:r>
              <w:rPr>
                <w:rFonts w:ascii="Times New Roman" w:hint="eastAsia"/>
                <w:sz w:val="24"/>
                <w:lang w:val="en-US" w:eastAsia="zh-CN"/>
              </w:rPr>
              <w:t>3</w:t>
            </w:r>
          </w:p>
        </w:tc>
      </w:tr>
      <w:tr>
        <w:tblPrEx>
          <w:tblW w:w="0" w:type="auto"/>
          <w:jc w:val="center"/>
          <w:tblInd w:w="116" w:type="dxa"/>
          <w:tblLayout w:type="fixed"/>
          <w:tblCellMar>
            <w:top w:w="0" w:type="dxa"/>
            <w:left w:w="0" w:type="dxa"/>
            <w:bottom w:w="0" w:type="dxa"/>
            <w:right w:w="0" w:type="dxa"/>
          </w:tblCellMar>
          <w:tblLook w:val="0000"/>
        </w:tblPrEx>
        <w:trPr>
          <w:trHeight w:val="480"/>
          <w:jc w:val="center"/>
        </w:trPr>
        <w:tc>
          <w:tcPr>
            <w:tcW w:w="3548" w:type="dxa"/>
            <w:vAlign w:val="center"/>
          </w:tcPr>
          <w:p>
            <w:pPr>
              <w:widowControl/>
              <w:jc w:val="center"/>
              <w:textAlignment w:val="center"/>
              <w:rPr>
                <w:rFonts w:ascii="Times New Roman" w:hint="eastAsia"/>
                <w:sz w:val="24"/>
                <w:lang w:val="en-US"/>
              </w:rPr>
            </w:pPr>
            <w:r>
              <w:rPr>
                <w:rFonts w:eastAsia="宋体" w:cs="宋体" w:hint="eastAsia"/>
                <w:color w:val="000000"/>
                <w:sz w:val="24"/>
                <w:szCs w:val="24"/>
                <w:lang w:val="en-US" w:eastAsia="zh-CN"/>
              </w:rPr>
              <w:t>戏剧影视文学（编剧）</w:t>
            </w:r>
          </w:p>
        </w:tc>
        <w:tc>
          <w:tcPr>
            <w:tcW w:w="128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64</w:t>
            </w:r>
          </w:p>
        </w:tc>
        <w:tc>
          <w:tcPr>
            <w:tcW w:w="1097" w:type="dxa"/>
            <w:vAlign w:val="center"/>
          </w:tcPr>
          <w:p>
            <w:pPr>
              <w:widowControl/>
              <w:jc w:val="center"/>
              <w:textAlignment w:val="center"/>
              <w:rPr>
                <w:rFonts w:ascii="Times New Roman" w:eastAsia="宋体" w:hint="default"/>
                <w:sz w:val="24"/>
                <w:lang w:val="en-US" w:eastAsia="zh-CN"/>
              </w:rPr>
            </w:pPr>
            <w:r>
              <w:rPr>
                <w:rFonts w:ascii="Times New Roman" w:hint="eastAsia"/>
                <w:sz w:val="24"/>
                <w:lang w:val="en-US" w:eastAsia="zh-CN"/>
              </w:rPr>
              <w:t>4</w:t>
            </w:r>
          </w:p>
        </w:tc>
        <w:tc>
          <w:tcPr>
            <w:tcW w:w="2343" w:type="dxa"/>
            <w:vAlign w:val="center"/>
          </w:tcPr>
          <w:p>
            <w:pPr>
              <w:widowControl/>
              <w:jc w:val="center"/>
              <w:textAlignment w:val="center"/>
              <w:rPr>
                <w:rFonts w:ascii="Times New Roman" w:eastAsia="宋体" w:hint="eastAsia"/>
                <w:sz w:val="24"/>
                <w:lang w:val="en-US" w:eastAsia="zh-CN"/>
              </w:rPr>
            </w:pPr>
            <w:r>
              <w:rPr>
                <w:rFonts w:ascii="Times New Roman" w:eastAsia="宋体" w:hint="eastAsia"/>
                <w:sz w:val="24"/>
                <w:lang w:val="en-US" w:eastAsia="zh-CN"/>
              </w:rPr>
              <w:t>李勇强</w:t>
            </w:r>
          </w:p>
        </w:tc>
        <w:tc>
          <w:tcPr>
            <w:tcW w:w="1299" w:type="dxa"/>
            <w:vAlign w:val="center"/>
          </w:tcPr>
          <w:p>
            <w:pPr>
              <w:widowControl/>
              <w:jc w:val="center"/>
              <w:textAlignment w:val="center"/>
              <w:rPr>
                <w:rFonts w:ascii="Times New Roman" w:eastAsia="宋体" w:hint="eastAsia"/>
                <w:sz w:val="24"/>
                <w:lang w:val="en-US" w:eastAsia="zh-CN"/>
              </w:rPr>
            </w:pPr>
            <w:r>
              <w:rPr>
                <w:rFonts w:ascii="Times New Roman" w:hint="eastAsia"/>
                <w:sz w:val="24"/>
                <w:lang w:val="en-US" w:eastAsia="zh-CN"/>
              </w:rPr>
              <w:t>7</w:t>
            </w:r>
          </w:p>
        </w:tc>
      </w:tr>
    </w:tbl>
    <w:p>
      <w:pPr>
        <w:spacing w:before="4"/>
        <w:rPr>
          <w:rFonts w:ascii="Microsoft JhengHei" w:eastAsia="Microsoft JhengHei" w:hint="eastAsia"/>
          <w:b/>
          <w:sz w:val="28"/>
        </w:rPr>
      </w:pPr>
      <w:r>
        <w:rPr>
          <w:rFonts w:ascii="Microsoft JhengHei" w:hint="eastAsia"/>
          <w:b/>
          <w:sz w:val="28"/>
          <w:lang w:val="en-US" w:eastAsia="zh-CN"/>
        </w:rPr>
        <w:t>5.2本专业授课</w:t>
      </w:r>
      <w:r>
        <w:rPr>
          <w:rFonts w:ascii="Microsoft JhengHei" w:eastAsia="Microsoft JhengHei" w:hint="eastAsia"/>
          <w:b/>
          <w:sz w:val="28"/>
        </w:rPr>
        <w:t>教师基本情况表</w:t>
      </w:r>
    </w:p>
    <w:tbl>
      <w:tblPr>
        <w:tblStyle w:val="TableNormal"/>
        <w:tblW w:w="10152" w:type="dxa"/>
        <w:jc w:val="center"/>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1072"/>
        <w:gridCol w:w="727"/>
        <w:gridCol w:w="821"/>
        <w:gridCol w:w="1156"/>
        <w:gridCol w:w="1118"/>
        <w:gridCol w:w="1188"/>
        <w:gridCol w:w="1107"/>
        <w:gridCol w:w="1131"/>
        <w:gridCol w:w="969"/>
        <w:gridCol w:w="863"/>
      </w:tblGrid>
      <w:tr>
        <w:tblPrEx>
          <w:tblW w:w="10152" w:type="dxa"/>
          <w:jc w:val="center"/>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792"/>
          <w:jc w:val="center"/>
        </w:trPr>
        <w:tc>
          <w:tcPr>
            <w:tcW w:w="1072" w:type="dxa"/>
            <w:vAlign w:val="center"/>
          </w:tcPr>
          <w:p>
            <w:pPr>
              <w:pStyle w:val="TableParagraph"/>
              <w:spacing w:line="421" w:lineRule="exact"/>
              <w:jc w:val="center"/>
              <w:rPr>
                <w:rFonts w:ascii="Microsoft JhengHei" w:eastAsia="Microsoft JhengHei" w:hint="eastAsia"/>
                <w:b/>
                <w:sz w:val="24"/>
              </w:rPr>
            </w:pPr>
            <w:r>
              <w:rPr>
                <w:rFonts w:ascii="Microsoft JhengHei" w:eastAsia="Microsoft JhengHei" w:hint="eastAsia"/>
                <w:b/>
                <w:sz w:val="24"/>
              </w:rPr>
              <w:t>姓名</w:t>
            </w:r>
          </w:p>
        </w:tc>
        <w:tc>
          <w:tcPr>
            <w:tcW w:w="727" w:type="dxa"/>
            <w:vAlign w:val="center"/>
          </w:tcPr>
          <w:p>
            <w:pPr>
              <w:pStyle w:val="TableParagraph"/>
              <w:spacing w:line="421" w:lineRule="exact"/>
              <w:jc w:val="center"/>
              <w:rPr>
                <w:rFonts w:ascii="Microsoft JhengHei" w:eastAsia="Microsoft JhengHei" w:hint="eastAsia"/>
                <w:b/>
                <w:sz w:val="24"/>
              </w:rPr>
            </w:pPr>
            <w:r>
              <w:rPr>
                <w:rFonts w:ascii="Microsoft JhengHei" w:eastAsia="Microsoft JhengHei" w:hint="eastAsia"/>
                <w:b/>
                <w:sz w:val="24"/>
              </w:rPr>
              <w:t>性别</w:t>
            </w:r>
          </w:p>
        </w:tc>
        <w:tc>
          <w:tcPr>
            <w:tcW w:w="821" w:type="dxa"/>
          </w:tcPr>
          <w:p>
            <w:pPr>
              <w:pStyle w:val="TableParagraph"/>
              <w:spacing w:line="421" w:lineRule="exact"/>
              <w:ind w:left="224"/>
              <w:rPr>
                <w:rFonts w:ascii="Microsoft JhengHei" w:eastAsia="Microsoft JhengHei" w:hint="eastAsia"/>
                <w:b/>
                <w:sz w:val="24"/>
              </w:rPr>
            </w:pPr>
            <w:r>
              <w:rPr>
                <w:rFonts w:ascii="Microsoft JhengHei" w:eastAsia="Microsoft JhengHei" w:hint="eastAsia"/>
                <w:b/>
                <w:sz w:val="24"/>
              </w:rPr>
              <w:t>出生</w:t>
            </w:r>
          </w:p>
          <w:p>
            <w:pPr>
              <w:pStyle w:val="TableParagraph"/>
              <w:spacing w:line="360" w:lineRule="exact"/>
              <w:ind w:left="224"/>
              <w:rPr>
                <w:rFonts w:ascii="Microsoft JhengHei" w:hint="eastAsia"/>
                <w:b/>
                <w:sz w:val="24"/>
              </w:rPr>
            </w:pPr>
            <w:r>
              <w:rPr>
                <w:rFonts w:ascii="Microsoft JhengHei" w:eastAsia="Microsoft JhengHei" w:hint="eastAsia"/>
                <w:b/>
                <w:sz w:val="24"/>
              </w:rPr>
              <w:t>年月</w:t>
            </w:r>
          </w:p>
        </w:tc>
        <w:tc>
          <w:tcPr>
            <w:tcW w:w="1156" w:type="dxa"/>
          </w:tcPr>
          <w:p>
            <w:pPr>
              <w:pStyle w:val="TableParagraph"/>
              <w:spacing w:line="421" w:lineRule="exact"/>
              <w:ind w:left="254"/>
              <w:rPr>
                <w:rFonts w:ascii="Microsoft JhengHei" w:eastAsia="Microsoft JhengHei" w:hint="eastAsia"/>
                <w:b/>
                <w:sz w:val="24"/>
              </w:rPr>
            </w:pPr>
            <w:r>
              <w:rPr>
                <w:rFonts w:ascii="Microsoft JhengHei" w:eastAsia="Microsoft JhengHei" w:hint="eastAsia"/>
                <w:b/>
                <w:sz w:val="24"/>
              </w:rPr>
              <w:t>拟授</w:t>
            </w:r>
          </w:p>
          <w:p>
            <w:pPr>
              <w:pStyle w:val="TableParagraph"/>
              <w:spacing w:line="360" w:lineRule="exact"/>
              <w:ind w:left="254"/>
              <w:rPr>
                <w:rFonts w:ascii="Microsoft JhengHei" w:eastAsia="Microsoft JhengHei" w:hint="eastAsia"/>
                <w:b/>
                <w:sz w:val="24"/>
              </w:rPr>
            </w:pPr>
            <w:r>
              <w:rPr>
                <w:rFonts w:ascii="Microsoft JhengHei" w:eastAsia="Microsoft JhengHei" w:hint="eastAsia"/>
                <w:b/>
                <w:sz w:val="24"/>
              </w:rPr>
              <w:t>课程</w:t>
            </w:r>
          </w:p>
        </w:tc>
        <w:tc>
          <w:tcPr>
            <w:tcW w:w="1118" w:type="dxa"/>
          </w:tcPr>
          <w:p>
            <w:pPr>
              <w:pStyle w:val="TableParagraph"/>
              <w:spacing w:line="421" w:lineRule="exact"/>
              <w:ind w:left="225"/>
              <w:rPr>
                <w:rFonts w:ascii="Microsoft JhengHei" w:eastAsia="Microsoft JhengHei" w:hint="eastAsia"/>
                <w:b/>
                <w:sz w:val="24"/>
              </w:rPr>
            </w:pPr>
            <w:r>
              <w:rPr>
                <w:rFonts w:ascii="Microsoft JhengHei" w:eastAsia="Microsoft JhengHei" w:hint="eastAsia"/>
                <w:b/>
                <w:sz w:val="24"/>
              </w:rPr>
              <w:t>专业技</w:t>
            </w:r>
          </w:p>
          <w:p>
            <w:pPr>
              <w:pStyle w:val="TableParagraph"/>
              <w:spacing w:line="360" w:lineRule="exact"/>
              <w:ind w:left="225"/>
              <w:rPr>
                <w:rFonts w:ascii="Microsoft JhengHei" w:eastAsia="Microsoft JhengHei" w:hint="eastAsia"/>
                <w:b/>
                <w:sz w:val="24"/>
              </w:rPr>
            </w:pPr>
            <w:r>
              <w:rPr>
                <w:rFonts w:ascii="Microsoft JhengHei" w:eastAsia="Microsoft JhengHei" w:hint="eastAsia"/>
                <w:b/>
                <w:sz w:val="24"/>
              </w:rPr>
              <w:t>术职务</w:t>
            </w:r>
          </w:p>
        </w:tc>
        <w:tc>
          <w:tcPr>
            <w:tcW w:w="1188" w:type="dxa"/>
          </w:tcPr>
          <w:p>
            <w:pPr>
              <w:pStyle w:val="TableParagraph"/>
              <w:spacing w:line="421" w:lineRule="exact"/>
              <w:ind w:left="132"/>
              <w:rPr>
                <w:rFonts w:ascii="Microsoft JhengHei" w:eastAsia="Microsoft JhengHei" w:hint="eastAsia"/>
                <w:b/>
                <w:sz w:val="24"/>
              </w:rPr>
            </w:pPr>
            <w:r>
              <w:rPr>
                <w:rFonts w:ascii="Microsoft JhengHei" w:eastAsia="Microsoft JhengHei" w:hint="eastAsia"/>
                <w:b/>
                <w:sz w:val="24"/>
              </w:rPr>
              <w:t>最后学历</w:t>
            </w:r>
          </w:p>
          <w:p>
            <w:pPr>
              <w:pStyle w:val="TableParagraph"/>
              <w:spacing w:line="360" w:lineRule="exact"/>
              <w:ind w:left="132"/>
              <w:rPr>
                <w:rFonts w:ascii="Microsoft JhengHei" w:eastAsia="Microsoft JhengHei" w:hint="eastAsia"/>
                <w:b/>
                <w:sz w:val="24"/>
              </w:rPr>
            </w:pPr>
            <w:r>
              <w:rPr>
                <w:rFonts w:ascii="Microsoft JhengHei" w:eastAsia="Microsoft JhengHei" w:hint="eastAsia"/>
                <w:b/>
                <w:sz w:val="24"/>
              </w:rPr>
              <w:t>毕业学校</w:t>
            </w:r>
          </w:p>
        </w:tc>
        <w:tc>
          <w:tcPr>
            <w:tcW w:w="1107" w:type="dxa"/>
          </w:tcPr>
          <w:p>
            <w:pPr>
              <w:pStyle w:val="TableParagraph"/>
              <w:spacing w:line="421" w:lineRule="exact"/>
              <w:ind w:left="134"/>
              <w:rPr>
                <w:rFonts w:ascii="Microsoft JhengHei" w:eastAsia="Microsoft JhengHei" w:hint="eastAsia"/>
                <w:b/>
                <w:sz w:val="24"/>
              </w:rPr>
            </w:pPr>
            <w:r>
              <w:rPr>
                <w:rFonts w:ascii="Microsoft JhengHei" w:eastAsia="Microsoft JhengHei" w:hint="eastAsia"/>
                <w:b/>
                <w:sz w:val="24"/>
              </w:rPr>
              <w:t>最后学历</w:t>
            </w:r>
          </w:p>
          <w:p>
            <w:pPr>
              <w:pStyle w:val="TableParagraph"/>
              <w:spacing w:line="360" w:lineRule="exact"/>
              <w:ind w:left="134"/>
              <w:rPr>
                <w:rFonts w:ascii="Microsoft JhengHei" w:eastAsia="Microsoft JhengHei" w:hint="eastAsia"/>
                <w:b/>
                <w:sz w:val="24"/>
              </w:rPr>
            </w:pPr>
            <w:r>
              <w:rPr>
                <w:rFonts w:ascii="Microsoft JhengHei" w:eastAsia="Microsoft JhengHei" w:hint="eastAsia"/>
                <w:b/>
                <w:sz w:val="24"/>
              </w:rPr>
              <w:t>毕业专业</w:t>
            </w:r>
          </w:p>
        </w:tc>
        <w:tc>
          <w:tcPr>
            <w:tcW w:w="1131" w:type="dxa"/>
          </w:tcPr>
          <w:p>
            <w:pPr>
              <w:pStyle w:val="TableParagraph"/>
              <w:spacing w:line="421" w:lineRule="exact"/>
              <w:ind w:left="135"/>
              <w:rPr>
                <w:rFonts w:ascii="Microsoft JhengHei" w:eastAsia="Microsoft JhengHei" w:hint="eastAsia"/>
                <w:b/>
                <w:sz w:val="24"/>
              </w:rPr>
            </w:pPr>
            <w:r>
              <w:rPr>
                <w:rFonts w:ascii="Microsoft JhengHei" w:eastAsia="Microsoft JhengHei" w:hint="eastAsia"/>
                <w:b/>
                <w:sz w:val="24"/>
              </w:rPr>
              <w:t>最后学历</w:t>
            </w:r>
          </w:p>
          <w:p>
            <w:pPr>
              <w:pStyle w:val="TableParagraph"/>
              <w:spacing w:line="360" w:lineRule="exact"/>
              <w:ind w:left="135"/>
              <w:rPr>
                <w:rFonts w:ascii="Microsoft JhengHei" w:eastAsia="Microsoft JhengHei" w:hint="eastAsia"/>
                <w:b/>
                <w:sz w:val="24"/>
              </w:rPr>
            </w:pPr>
            <w:r>
              <w:rPr>
                <w:rFonts w:ascii="Microsoft JhengHei" w:eastAsia="Microsoft JhengHei" w:hint="eastAsia"/>
                <w:b/>
                <w:sz w:val="24"/>
              </w:rPr>
              <w:t>毕业学位</w:t>
            </w:r>
          </w:p>
        </w:tc>
        <w:tc>
          <w:tcPr>
            <w:tcW w:w="969" w:type="dxa"/>
          </w:tcPr>
          <w:p>
            <w:pPr>
              <w:pStyle w:val="TableParagraph"/>
              <w:spacing w:line="421" w:lineRule="exact"/>
              <w:ind w:left="95"/>
              <w:rPr>
                <w:rFonts w:ascii="Microsoft JhengHei" w:eastAsia="Microsoft JhengHei" w:hint="eastAsia"/>
                <w:b/>
                <w:sz w:val="24"/>
              </w:rPr>
            </w:pPr>
            <w:r>
              <w:rPr>
                <w:rFonts w:ascii="Microsoft JhengHei" w:eastAsia="Microsoft JhengHei" w:hint="eastAsia"/>
                <w:b/>
                <w:sz w:val="24"/>
              </w:rPr>
              <w:t>研究</w:t>
            </w:r>
          </w:p>
          <w:p>
            <w:pPr>
              <w:pStyle w:val="TableParagraph"/>
              <w:spacing w:line="360" w:lineRule="exact"/>
              <w:ind w:left="95"/>
              <w:rPr>
                <w:rFonts w:ascii="Microsoft JhengHei" w:eastAsia="Microsoft JhengHei" w:hint="eastAsia"/>
                <w:b/>
                <w:sz w:val="24"/>
              </w:rPr>
            </w:pPr>
            <w:r>
              <w:rPr>
                <w:rFonts w:ascii="Microsoft JhengHei" w:eastAsia="Microsoft JhengHei" w:hint="eastAsia"/>
                <w:b/>
                <w:sz w:val="24"/>
              </w:rPr>
              <w:t>领域</w:t>
            </w:r>
          </w:p>
        </w:tc>
        <w:tc>
          <w:tcPr>
            <w:tcW w:w="863" w:type="dxa"/>
          </w:tcPr>
          <w:p>
            <w:pPr>
              <w:pStyle w:val="TableParagraph"/>
              <w:spacing w:line="421" w:lineRule="exact"/>
              <w:ind w:left="231"/>
              <w:rPr>
                <w:rFonts w:ascii="Microsoft JhengHei" w:eastAsia="Microsoft JhengHei" w:hint="eastAsia"/>
                <w:b/>
                <w:sz w:val="24"/>
              </w:rPr>
            </w:pPr>
            <w:r>
              <w:rPr>
                <w:rFonts w:ascii="Microsoft JhengHei" w:eastAsia="Microsoft JhengHei" w:hint="eastAsia"/>
                <w:b/>
                <w:sz w:val="24"/>
              </w:rPr>
              <w:t>专职</w:t>
            </w:r>
          </w:p>
          <w:p>
            <w:pPr>
              <w:pStyle w:val="TableParagraph"/>
              <w:spacing w:line="360" w:lineRule="exact"/>
              <w:ind w:left="198"/>
              <w:rPr>
                <w:rFonts w:ascii="Microsoft JhengHei" w:eastAsia="Microsoft JhengHei" w:hint="eastAsia"/>
                <w:b/>
                <w:sz w:val="24"/>
              </w:rPr>
            </w:pPr>
            <w:r>
              <w:rPr>
                <w:rFonts w:ascii="Times New Roman" w:eastAsia="Times New Roman"/>
                <w:b/>
                <w:sz w:val="24"/>
              </w:rPr>
              <w:t>/</w:t>
            </w:r>
            <w:r>
              <w:rPr>
                <w:rFonts w:ascii="Microsoft JhengHei" w:eastAsia="Microsoft JhengHei" w:hint="eastAsia"/>
                <w:b/>
                <w:sz w:val="24"/>
              </w:rPr>
              <w:t>兼职</w:t>
            </w:r>
          </w:p>
        </w:tc>
      </w:tr>
      <w:tr>
        <w:tblPrEx>
          <w:tblW w:w="10152" w:type="dxa"/>
          <w:jc w:val="center"/>
          <w:tblInd w:w="-589" w:type="dxa"/>
          <w:tblLayout w:type="fixed"/>
          <w:tblCellMar>
            <w:top w:w="0" w:type="dxa"/>
            <w:left w:w="0" w:type="dxa"/>
            <w:bottom w:w="0" w:type="dxa"/>
            <w:right w:w="0" w:type="dxa"/>
          </w:tblCellMar>
          <w:tblLook w:val="0000"/>
        </w:tblPrEx>
        <w:trPr>
          <w:trHeight w:val="625"/>
          <w:jc w:val="center"/>
        </w:trPr>
        <w:tc>
          <w:tcPr>
            <w:tcW w:w="1072"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李勇强</w:t>
            </w:r>
          </w:p>
        </w:tc>
        <w:tc>
          <w:tcPr>
            <w:tcW w:w="727"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男</w:t>
            </w:r>
          </w:p>
        </w:tc>
        <w:tc>
          <w:tcPr>
            <w:tcW w:w="821" w:type="dxa"/>
            <w:vAlign w:val="center"/>
          </w:tcPr>
          <w:p>
            <w:pPr>
              <w:pStyle w:val="TableParagraph"/>
              <w:jc w:val="center"/>
              <w:rPr>
                <w:rFonts w:ascii="宋体" w:eastAsia="宋体" w:hAnsi="宋体" w:cs="宋体" w:hint="default"/>
                <w:spacing w:val="-1"/>
                <w:lang w:val="en-US" w:eastAsia="zh-CN"/>
              </w:rPr>
            </w:pPr>
            <w:r>
              <w:rPr>
                <w:rFonts w:ascii="宋体" w:eastAsia="宋体" w:hAnsi="宋体" w:cs="宋体" w:hint="eastAsia"/>
                <w:spacing w:val="-1"/>
                <w:lang w:val="en-US" w:eastAsia="zh-CN"/>
              </w:rPr>
              <w:t>1978</w:t>
            </w:r>
            <w:r>
              <w:rPr>
                <w:rFonts w:cs="宋体" w:hint="eastAsia"/>
                <w:spacing w:val="-1"/>
                <w:lang w:val="en-US" w:eastAsia="zh-CN"/>
              </w:rPr>
              <w:t>-03</w:t>
            </w:r>
          </w:p>
        </w:tc>
        <w:tc>
          <w:tcPr>
            <w:tcW w:w="1156"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戏剧影视文学（编剧）</w:t>
            </w:r>
          </w:p>
        </w:tc>
        <w:tc>
          <w:tcPr>
            <w:tcW w:w="1118"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教授</w:t>
            </w:r>
          </w:p>
        </w:tc>
        <w:tc>
          <w:tcPr>
            <w:tcW w:w="1188"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中央戏剧学院</w:t>
            </w:r>
          </w:p>
        </w:tc>
        <w:tc>
          <w:tcPr>
            <w:tcW w:w="1107"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戏剧戏曲学</w:t>
            </w:r>
          </w:p>
        </w:tc>
        <w:tc>
          <w:tcPr>
            <w:tcW w:w="1131"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博士</w:t>
            </w:r>
          </w:p>
        </w:tc>
        <w:tc>
          <w:tcPr>
            <w:tcW w:w="969"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戏剧表演</w:t>
            </w:r>
          </w:p>
        </w:tc>
        <w:tc>
          <w:tcPr>
            <w:tcW w:w="863"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兼职</w:t>
            </w:r>
          </w:p>
        </w:tc>
      </w:tr>
      <w:tr>
        <w:tblPrEx>
          <w:tblW w:w="10152" w:type="dxa"/>
          <w:jc w:val="center"/>
          <w:tblInd w:w="-589" w:type="dxa"/>
          <w:tblLayout w:type="fixed"/>
          <w:tblCellMar>
            <w:top w:w="0" w:type="dxa"/>
            <w:left w:w="0" w:type="dxa"/>
            <w:bottom w:w="0" w:type="dxa"/>
            <w:right w:w="0" w:type="dxa"/>
          </w:tblCellMar>
          <w:tblLook w:val="0000"/>
        </w:tblPrEx>
        <w:trPr>
          <w:trHeight w:val="577"/>
          <w:jc w:val="center"/>
        </w:trPr>
        <w:tc>
          <w:tcPr>
            <w:tcW w:w="1072"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韦田</w:t>
            </w:r>
          </w:p>
        </w:tc>
        <w:tc>
          <w:tcPr>
            <w:tcW w:w="727"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男</w:t>
            </w:r>
          </w:p>
        </w:tc>
        <w:tc>
          <w:tcPr>
            <w:tcW w:w="821" w:type="dxa"/>
            <w:vAlign w:val="center"/>
          </w:tcPr>
          <w:p>
            <w:pPr>
              <w:pStyle w:val="TableParagraph"/>
              <w:jc w:val="center"/>
              <w:rPr>
                <w:rFonts w:ascii="宋体" w:eastAsia="宋体" w:hAnsi="宋体" w:cs="宋体" w:hint="default"/>
                <w:spacing w:val="-1"/>
                <w:lang w:val="en-US" w:eastAsia="zh-CN"/>
              </w:rPr>
            </w:pPr>
            <w:r>
              <w:rPr>
                <w:rFonts w:ascii="宋体" w:eastAsia="宋体" w:hAnsi="宋体" w:cs="宋体" w:hint="eastAsia"/>
                <w:spacing w:val="-1"/>
                <w:lang w:val="en-US" w:eastAsia="zh-CN"/>
              </w:rPr>
              <w:t>1962</w:t>
            </w:r>
            <w:r>
              <w:rPr>
                <w:rFonts w:cs="宋体" w:hint="eastAsia"/>
                <w:spacing w:val="-1"/>
                <w:lang w:val="en-US" w:eastAsia="zh-CN"/>
              </w:rPr>
              <w:t>-01</w:t>
            </w:r>
          </w:p>
        </w:tc>
        <w:tc>
          <w:tcPr>
            <w:tcW w:w="1156"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台词</w:t>
            </w:r>
          </w:p>
        </w:tc>
        <w:tc>
          <w:tcPr>
            <w:tcW w:w="1118" w:type="dxa"/>
            <w:vAlign w:val="center"/>
          </w:tcPr>
          <w:p>
            <w:pPr>
              <w:pStyle w:val="TableParagraph"/>
              <w:jc w:val="center"/>
              <w:rPr>
                <w:rFonts w:ascii="宋体" w:eastAsia="宋体" w:hAnsi="宋体" w:cs="宋体" w:hint="default"/>
                <w:spacing w:val="-1"/>
                <w:lang w:val="en-US" w:eastAsia="zh-CN"/>
              </w:rPr>
            </w:pPr>
            <w:r>
              <w:rPr>
                <w:rFonts w:cs="宋体" w:hint="eastAsia"/>
                <w:spacing w:val="-1"/>
                <w:lang w:val="en-US" w:eastAsia="zh-CN"/>
              </w:rPr>
              <w:t>其他正高级</w:t>
            </w:r>
          </w:p>
        </w:tc>
        <w:tc>
          <w:tcPr>
            <w:tcW w:w="1188"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中央党校</w:t>
            </w:r>
          </w:p>
        </w:tc>
        <w:tc>
          <w:tcPr>
            <w:tcW w:w="1107"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党政管理</w:t>
            </w:r>
          </w:p>
        </w:tc>
        <w:tc>
          <w:tcPr>
            <w:tcW w:w="1131" w:type="dxa"/>
            <w:vAlign w:val="center"/>
          </w:tcPr>
          <w:p>
            <w:pPr>
              <w:pStyle w:val="TableParagraph"/>
              <w:jc w:val="center"/>
              <w:rPr>
                <w:rFonts w:ascii="宋体" w:eastAsia="宋体" w:hAnsi="宋体" w:cs="宋体" w:hint="default"/>
                <w:spacing w:val="-1"/>
                <w:lang w:val="en-US" w:eastAsia="zh-CN"/>
              </w:rPr>
            </w:pPr>
            <w:r>
              <w:rPr>
                <w:rFonts w:cs="宋体" w:hint="eastAsia"/>
                <w:spacing w:val="-1"/>
                <w:lang w:val="en-US" w:eastAsia="zh-CN"/>
              </w:rPr>
              <w:t>学士</w:t>
            </w:r>
          </w:p>
        </w:tc>
        <w:tc>
          <w:tcPr>
            <w:tcW w:w="969" w:type="dxa"/>
            <w:vAlign w:val="center"/>
          </w:tcPr>
          <w:p>
            <w:pPr>
              <w:pStyle w:val="TableParagraph"/>
              <w:jc w:val="center"/>
              <w:rPr>
                <w:rFonts w:ascii="宋体" w:eastAsia="宋体" w:hAnsi="宋体" w:cs="宋体" w:hint="default"/>
                <w:spacing w:val="-1"/>
                <w:lang w:val="en-US" w:eastAsia="zh-CN"/>
              </w:rPr>
            </w:pPr>
            <w:r>
              <w:rPr>
                <w:rFonts w:ascii="宋体" w:eastAsia="宋体" w:hAnsi="宋体" w:cs="宋体" w:hint="eastAsia"/>
                <w:spacing w:val="-1"/>
                <w:lang w:val="en-US" w:eastAsia="zh-CN"/>
              </w:rPr>
              <w:t>影视配音</w:t>
            </w:r>
          </w:p>
        </w:tc>
        <w:tc>
          <w:tcPr>
            <w:tcW w:w="863"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792"/>
          <w:jc w:val="center"/>
        </w:trPr>
        <w:tc>
          <w:tcPr>
            <w:tcW w:w="1072"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尚学艳</w:t>
            </w:r>
          </w:p>
        </w:tc>
        <w:tc>
          <w:tcPr>
            <w:tcW w:w="727"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女</w:t>
            </w:r>
          </w:p>
        </w:tc>
        <w:tc>
          <w:tcPr>
            <w:tcW w:w="821" w:type="dxa"/>
            <w:vAlign w:val="center"/>
          </w:tcPr>
          <w:p>
            <w:pPr>
              <w:pStyle w:val="TableParagraph"/>
              <w:jc w:val="center"/>
              <w:rPr>
                <w:rFonts w:ascii="宋体" w:eastAsia="宋体" w:hAnsi="宋体" w:cs="宋体" w:hint="default"/>
                <w:spacing w:val="-1"/>
                <w:lang w:val="en-US" w:eastAsia="zh-CN"/>
              </w:rPr>
            </w:pPr>
            <w:r>
              <w:rPr>
                <w:rFonts w:ascii="宋体" w:eastAsia="宋体" w:hAnsi="宋体" w:cs="宋体" w:hint="eastAsia"/>
                <w:spacing w:val="-1"/>
                <w:lang w:val="en-US" w:eastAsia="zh-CN"/>
              </w:rPr>
              <w:t>197</w:t>
            </w:r>
            <w:r>
              <w:rPr>
                <w:rFonts w:cs="宋体" w:hint="eastAsia"/>
                <w:spacing w:val="-1"/>
                <w:lang w:val="en-US" w:eastAsia="zh-CN"/>
              </w:rPr>
              <w:t>2-12</w:t>
            </w:r>
          </w:p>
        </w:tc>
        <w:tc>
          <w:tcPr>
            <w:tcW w:w="1156" w:type="dxa"/>
            <w:vAlign w:val="center"/>
          </w:tcPr>
          <w:p>
            <w:pPr>
              <w:pStyle w:val="TableParagraph"/>
              <w:jc w:val="both"/>
              <w:rPr>
                <w:rFonts w:ascii="宋体" w:eastAsia="宋体" w:hAnsi="宋体" w:cs="宋体" w:hint="default"/>
                <w:spacing w:val="-1"/>
                <w:lang w:val="en-US" w:eastAsia="zh-CN"/>
              </w:rPr>
            </w:pPr>
            <w:r>
              <w:rPr>
                <w:rFonts w:ascii="宋体" w:eastAsia="宋体" w:hAnsi="宋体" w:cs="宋体" w:hint="eastAsia"/>
                <w:spacing w:val="-1"/>
                <w:lang w:val="en-US" w:eastAsia="zh-CN"/>
              </w:rPr>
              <w:t xml:space="preserve"> 导演基础</w:t>
            </w:r>
          </w:p>
        </w:tc>
        <w:tc>
          <w:tcPr>
            <w:tcW w:w="1118"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其他正高级</w:t>
            </w:r>
          </w:p>
        </w:tc>
        <w:tc>
          <w:tcPr>
            <w:tcW w:w="1188"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天津音乐学院</w:t>
            </w:r>
          </w:p>
        </w:tc>
        <w:tc>
          <w:tcPr>
            <w:tcW w:w="1107"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音乐教育</w:t>
            </w:r>
          </w:p>
        </w:tc>
        <w:tc>
          <w:tcPr>
            <w:tcW w:w="1131"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学士</w:t>
            </w:r>
          </w:p>
        </w:tc>
        <w:tc>
          <w:tcPr>
            <w:tcW w:w="969" w:type="dxa"/>
            <w:vAlign w:val="center"/>
          </w:tcPr>
          <w:p>
            <w:pPr>
              <w:pStyle w:val="TableParagraph"/>
              <w:jc w:val="center"/>
              <w:rPr>
                <w:rFonts w:ascii="宋体" w:eastAsia="宋体" w:hAnsi="宋体" w:cs="宋体" w:hint="eastAsia"/>
                <w:spacing w:val="-1"/>
                <w:lang w:val="en-US" w:eastAsia="zh-CN"/>
              </w:rPr>
            </w:pPr>
            <w:r>
              <w:rPr>
                <w:rFonts w:cs="宋体" w:hint="eastAsia"/>
                <w:spacing w:val="-1"/>
                <w:lang w:val="en-US" w:eastAsia="zh-CN"/>
              </w:rPr>
              <w:t>电影电视编导</w:t>
            </w:r>
          </w:p>
        </w:tc>
        <w:tc>
          <w:tcPr>
            <w:tcW w:w="863" w:type="dxa"/>
            <w:vAlign w:val="center"/>
          </w:tcPr>
          <w:p>
            <w:pPr>
              <w:pStyle w:val="TableParagraph"/>
              <w:jc w:val="center"/>
              <w:rPr>
                <w:rFonts w:ascii="宋体" w:eastAsia="宋体" w:hAnsi="宋体" w:cs="宋体" w:hint="eastAsia"/>
                <w:spacing w:val="-1"/>
                <w:lang w:val="en-US" w:eastAsia="zh-CN"/>
              </w:rPr>
            </w:pPr>
            <w:r>
              <w:rPr>
                <w:rFonts w:ascii="宋体" w:eastAsia="宋体" w:hAnsi="宋体" w:cs="宋体" w:hint="eastAsia"/>
                <w:spacing w:val="-1"/>
                <w:lang w:val="en-US" w:eastAsia="zh-CN"/>
              </w:rPr>
              <w:t>兼职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pStyle w:val="TableParagraph"/>
              <w:jc w:val="center"/>
              <w:rPr>
                <w:rFonts w:hint="eastAsia"/>
                <w:spacing w:val="-1"/>
                <w:lang w:val="en-US" w:eastAsia="zh-CN"/>
              </w:rPr>
            </w:pPr>
            <w:r>
              <w:rPr>
                <w:rFonts w:hint="eastAsia"/>
                <w:spacing w:val="-1"/>
                <w:lang w:val="en-US" w:eastAsia="zh-CN"/>
              </w:rPr>
              <w:t>展烨</w:t>
            </w:r>
          </w:p>
        </w:tc>
        <w:tc>
          <w:tcPr>
            <w:tcW w:w="727" w:type="dxa"/>
            <w:vAlign w:val="center"/>
          </w:tcPr>
          <w:p>
            <w:pPr>
              <w:jc w:val="center"/>
              <w:rPr>
                <w:rFonts w:hint="eastAsia"/>
                <w:spacing w:val="-1"/>
                <w:lang w:val="en-US" w:eastAsia="zh-CN"/>
              </w:rPr>
            </w:pPr>
            <w:r>
              <w:rPr>
                <w:rFonts w:hint="eastAsia"/>
                <w:spacing w:val="-1"/>
                <w:lang w:val="en-US" w:eastAsia="zh-CN"/>
              </w:rPr>
              <w:t>女</w:t>
            </w:r>
          </w:p>
        </w:tc>
        <w:tc>
          <w:tcPr>
            <w:tcW w:w="821" w:type="dxa"/>
            <w:vAlign w:val="center"/>
          </w:tcPr>
          <w:p>
            <w:pPr>
              <w:pStyle w:val="TableParagraph"/>
              <w:jc w:val="center"/>
              <w:rPr>
                <w:rFonts w:hint="default"/>
                <w:spacing w:val="-1"/>
                <w:lang w:val="en-US" w:eastAsia="zh-CN"/>
              </w:rPr>
            </w:pPr>
            <w:r>
              <w:rPr>
                <w:rFonts w:hint="eastAsia"/>
                <w:spacing w:val="-1"/>
                <w:lang w:val="en-US" w:eastAsia="zh-CN"/>
              </w:rPr>
              <w:t>1986-11</w:t>
            </w:r>
          </w:p>
        </w:tc>
        <w:tc>
          <w:tcPr>
            <w:tcW w:w="1156" w:type="dxa"/>
            <w:vAlign w:val="center"/>
          </w:tcPr>
          <w:p>
            <w:pPr>
              <w:pStyle w:val="TableParagraph"/>
              <w:jc w:val="center"/>
              <w:rPr>
                <w:rFonts w:eastAsia="宋体" w:hint="eastAsia"/>
                <w:spacing w:val="-1"/>
                <w:lang w:val="en-US" w:eastAsia="zh-CN"/>
              </w:rPr>
            </w:pPr>
            <w:r>
              <w:rPr>
                <w:rFonts w:hint="eastAsia"/>
                <w:spacing w:val="-1"/>
                <w:lang w:val="en-US" w:eastAsia="zh-CN"/>
              </w:rPr>
              <w:t>芭蕾基本功训练</w:t>
            </w:r>
          </w:p>
        </w:tc>
        <w:tc>
          <w:tcPr>
            <w:tcW w:w="1118" w:type="dxa"/>
            <w:vAlign w:val="center"/>
          </w:tcPr>
          <w:p>
            <w:pPr>
              <w:pStyle w:val="TableParagraph"/>
              <w:jc w:val="center"/>
              <w:rPr>
                <w:rFonts w:eastAsia="宋体" w:hint="eastAsia"/>
                <w:spacing w:val="-1"/>
                <w:lang w:val="en-US" w:eastAsia="zh-CN"/>
              </w:rPr>
            </w:pPr>
            <w:r>
              <w:rPr>
                <w:rFonts w:hint="eastAsia"/>
                <w:spacing w:val="-1"/>
                <w:lang w:val="en-US" w:eastAsia="zh-CN"/>
              </w:rPr>
              <w:t>副教授</w:t>
            </w:r>
          </w:p>
        </w:tc>
        <w:tc>
          <w:tcPr>
            <w:tcW w:w="1188" w:type="dxa"/>
            <w:vAlign w:val="center"/>
          </w:tcPr>
          <w:p>
            <w:pPr>
              <w:jc w:val="center"/>
              <w:rPr>
                <w:rFonts w:hint="eastAsia"/>
                <w:spacing w:val="-1"/>
                <w:lang w:val="en-US" w:eastAsia="zh-CN"/>
              </w:rPr>
            </w:pPr>
            <w:r>
              <w:rPr>
                <w:rFonts w:hint="eastAsia"/>
                <w:spacing w:val="-1"/>
                <w:lang w:val="en-US" w:eastAsia="zh-CN"/>
              </w:rPr>
              <w:t>河北师范大学</w:t>
            </w:r>
          </w:p>
        </w:tc>
        <w:tc>
          <w:tcPr>
            <w:tcW w:w="1107" w:type="dxa"/>
            <w:vAlign w:val="center"/>
          </w:tcPr>
          <w:p>
            <w:pPr>
              <w:pStyle w:val="TableParagraph"/>
              <w:jc w:val="center"/>
              <w:rPr>
                <w:rFonts w:hint="eastAsia"/>
                <w:spacing w:val="-1"/>
                <w:lang w:val="en-US" w:eastAsia="zh-CN"/>
              </w:rPr>
            </w:pPr>
            <w:r>
              <w:rPr>
                <w:rFonts w:hint="eastAsia"/>
                <w:spacing w:val="-1"/>
                <w:lang w:val="en-US" w:eastAsia="zh-CN"/>
              </w:rPr>
              <w:t>体育教育</w:t>
            </w:r>
          </w:p>
        </w:tc>
        <w:tc>
          <w:tcPr>
            <w:tcW w:w="1131" w:type="dxa"/>
            <w:vAlign w:val="center"/>
          </w:tcPr>
          <w:p>
            <w:pPr>
              <w:jc w:val="center"/>
              <w:rPr>
                <w:rFonts w:hint="eastAsia"/>
                <w:spacing w:val="-1"/>
                <w:lang w:val="en-US" w:eastAsia="zh-CN"/>
              </w:rPr>
            </w:pPr>
            <w:r>
              <w:rPr>
                <w:rFonts w:hint="eastAsia"/>
                <w:spacing w:val="-1"/>
                <w:lang w:val="en-US" w:eastAsia="zh-CN"/>
              </w:rPr>
              <w:t>硕士</w:t>
            </w:r>
          </w:p>
        </w:tc>
        <w:tc>
          <w:tcPr>
            <w:tcW w:w="969" w:type="dxa"/>
            <w:vAlign w:val="center"/>
          </w:tcPr>
          <w:p>
            <w:pPr>
              <w:jc w:val="center"/>
              <w:rPr>
                <w:rFonts w:eastAsia="宋体" w:hint="eastAsia"/>
                <w:spacing w:val="-1"/>
                <w:lang w:val="en-US" w:eastAsia="zh-CN"/>
              </w:rPr>
            </w:pPr>
            <w:r>
              <w:rPr>
                <w:rFonts w:hint="eastAsia"/>
                <w:spacing w:val="-1"/>
                <w:lang w:val="en-US" w:eastAsia="zh-CN"/>
              </w:rPr>
              <w:t>啦啦操技术</w:t>
            </w:r>
          </w:p>
        </w:tc>
        <w:tc>
          <w:tcPr>
            <w:tcW w:w="863" w:type="dxa"/>
            <w:vAlign w:val="center"/>
          </w:tcPr>
          <w:p>
            <w:pPr>
              <w:jc w:val="center"/>
              <w:rPr>
                <w:rFonts w:hint="eastAsia"/>
                <w:spacing w:val="-1"/>
                <w:lang w:val="en-US" w:eastAsia="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pStyle w:val="TableParagraph"/>
              <w:jc w:val="center"/>
              <w:rPr>
                <w:rFonts w:eastAsia="宋体" w:hint="eastAsia"/>
                <w:spacing w:val="-1"/>
                <w:lang w:val="en-US" w:eastAsia="zh-CN"/>
              </w:rPr>
            </w:pPr>
            <w:r>
              <w:rPr>
                <w:rFonts w:hint="eastAsia"/>
                <w:spacing w:val="-1"/>
                <w:lang w:val="en-US" w:eastAsia="zh-CN"/>
              </w:rPr>
              <w:t>王荣</w:t>
            </w:r>
          </w:p>
        </w:tc>
        <w:tc>
          <w:tcPr>
            <w:tcW w:w="727" w:type="dxa"/>
            <w:vAlign w:val="center"/>
          </w:tcPr>
          <w:p>
            <w:pPr>
              <w:jc w:val="center"/>
              <w:rPr>
                <w:rFonts w:eastAsia="宋体" w:hint="eastAsia"/>
                <w:spacing w:val="-1"/>
                <w:lang w:val="en-US" w:eastAsia="zh-CN"/>
              </w:rPr>
            </w:pPr>
            <w:r>
              <w:rPr>
                <w:rFonts w:hint="eastAsia"/>
                <w:spacing w:val="-1"/>
                <w:lang w:val="en-US" w:eastAsia="zh-CN"/>
              </w:rPr>
              <w:t>女</w:t>
            </w:r>
          </w:p>
        </w:tc>
        <w:tc>
          <w:tcPr>
            <w:tcW w:w="821" w:type="dxa"/>
            <w:vAlign w:val="center"/>
          </w:tcPr>
          <w:p>
            <w:pPr>
              <w:pStyle w:val="TableParagraph"/>
              <w:jc w:val="center"/>
              <w:rPr>
                <w:rFonts w:eastAsia="宋体" w:hint="default"/>
                <w:spacing w:val="-1"/>
                <w:lang w:val="en-US" w:eastAsia="zh-CN"/>
              </w:rPr>
            </w:pPr>
            <w:r>
              <w:rPr>
                <w:rFonts w:hint="eastAsia"/>
                <w:spacing w:val="-1"/>
                <w:lang w:val="en-US" w:eastAsia="zh-CN"/>
              </w:rPr>
              <w:t>1991-02</w:t>
            </w:r>
          </w:p>
        </w:tc>
        <w:tc>
          <w:tcPr>
            <w:tcW w:w="1156" w:type="dxa"/>
            <w:vAlign w:val="center"/>
          </w:tcPr>
          <w:p>
            <w:pPr>
              <w:pStyle w:val="TableParagraph"/>
              <w:jc w:val="center"/>
              <w:rPr>
                <w:rFonts w:eastAsia="宋体" w:hint="eastAsia"/>
                <w:spacing w:val="-1"/>
                <w:lang w:val="en-US" w:eastAsia="zh-CN"/>
              </w:rPr>
            </w:pPr>
            <w:r>
              <w:rPr>
                <w:rFonts w:hint="eastAsia"/>
                <w:spacing w:val="-1"/>
                <w:lang w:val="en-US" w:eastAsia="zh-CN"/>
              </w:rPr>
              <w:t>表演（一）</w:t>
            </w:r>
          </w:p>
        </w:tc>
        <w:tc>
          <w:tcPr>
            <w:tcW w:w="1118" w:type="dxa"/>
            <w:vAlign w:val="center"/>
          </w:tcPr>
          <w:p>
            <w:pPr>
              <w:pStyle w:val="TableParagraph"/>
              <w:jc w:val="center"/>
              <w:rPr>
                <w:rFonts w:eastAsia="宋体" w:hint="eastAsia"/>
                <w:spacing w:val="-1"/>
                <w:lang w:val="en-US" w:eastAsia="zh-CN"/>
              </w:rPr>
            </w:pPr>
            <w:r>
              <w:rPr>
                <w:rFonts w:hint="eastAsia"/>
                <w:spacing w:val="-1"/>
                <w:lang w:val="en-US" w:eastAsia="zh-CN"/>
              </w:rPr>
              <w:t>讲师</w:t>
            </w:r>
          </w:p>
        </w:tc>
        <w:tc>
          <w:tcPr>
            <w:tcW w:w="1188" w:type="dxa"/>
            <w:vAlign w:val="center"/>
          </w:tcPr>
          <w:p>
            <w:pPr>
              <w:jc w:val="center"/>
              <w:rPr>
                <w:rFonts w:eastAsia="宋体" w:hint="eastAsia"/>
                <w:spacing w:val="-1"/>
                <w:lang w:val="en-US" w:eastAsia="zh-CN"/>
              </w:rPr>
            </w:pPr>
            <w:r>
              <w:rPr>
                <w:rFonts w:hint="eastAsia"/>
                <w:spacing w:val="-1"/>
                <w:lang w:val="en-US" w:eastAsia="zh-CN"/>
              </w:rPr>
              <w:t>赣南师范大学</w:t>
            </w:r>
          </w:p>
        </w:tc>
        <w:tc>
          <w:tcPr>
            <w:tcW w:w="1107" w:type="dxa"/>
            <w:vAlign w:val="center"/>
          </w:tcPr>
          <w:p>
            <w:pPr>
              <w:pStyle w:val="TableParagraph"/>
              <w:jc w:val="center"/>
              <w:rPr>
                <w:rFonts w:eastAsia="宋体" w:hint="eastAsia"/>
                <w:spacing w:val="-1"/>
                <w:lang w:val="en-US" w:eastAsia="zh-CN"/>
              </w:rPr>
            </w:pPr>
            <w:r>
              <w:rPr>
                <w:rFonts w:hint="eastAsia"/>
                <w:spacing w:val="-1"/>
                <w:lang w:val="en-US" w:eastAsia="zh-CN"/>
              </w:rPr>
              <w:t>广播电视</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jc w:val="center"/>
              <w:rPr>
                <w:rFonts w:hint="eastAsia"/>
                <w:spacing w:val="-1"/>
                <w:lang w:val="en-US"/>
              </w:rPr>
            </w:pPr>
            <w:r>
              <w:rPr>
                <w:rFonts w:cs="宋体" w:hint="eastAsia"/>
                <w:spacing w:val="-1"/>
                <w:sz w:val="22"/>
                <w:szCs w:val="22"/>
                <w:lang w:val="en-US" w:eastAsia="zh-CN" w:bidi="zh-CN"/>
              </w:rPr>
              <w:t>表演艺术</w:t>
            </w:r>
          </w:p>
        </w:tc>
        <w:tc>
          <w:tcPr>
            <w:tcW w:w="863" w:type="dxa"/>
            <w:vAlign w:val="center"/>
          </w:tcPr>
          <w:p>
            <w:pPr>
              <w:jc w:val="center"/>
              <w:rPr>
                <w:rFonts w:eastAsia="宋体" w:hint="eastAsia"/>
                <w:spacing w:val="-1"/>
                <w:lang w:val="en-US" w:eastAsia="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pStyle w:val="TableParagraph"/>
              <w:jc w:val="center"/>
              <w:rPr>
                <w:rFonts w:ascii="宋体" w:eastAsia="宋体" w:hAnsi="宋体" w:cs="宋体" w:hint="eastAsia"/>
                <w:spacing w:val="-1"/>
                <w:sz w:val="22"/>
                <w:szCs w:val="22"/>
                <w:lang w:val="zh-CN" w:eastAsia="zh-CN" w:bidi="zh-CN"/>
              </w:rPr>
            </w:pPr>
            <w:r>
              <w:rPr>
                <w:rFonts w:cs="宋体" w:hint="eastAsia"/>
                <w:spacing w:val="-1"/>
                <w:sz w:val="22"/>
                <w:szCs w:val="22"/>
                <w:lang w:val="zh-CN" w:eastAsia="zh-CN" w:bidi="zh-CN"/>
              </w:rPr>
              <w:t>霍雨潇</w:t>
            </w:r>
          </w:p>
        </w:tc>
        <w:tc>
          <w:tcPr>
            <w:tcW w:w="727" w:type="dxa"/>
            <w:vAlign w:val="center"/>
          </w:tcPr>
          <w:p>
            <w:pPr>
              <w:jc w:val="center"/>
              <w:rPr>
                <w:rFonts w:ascii="宋体" w:hAnsi="宋体" w:cs="宋体" w:hint="eastAsia"/>
                <w:spacing w:val="-1"/>
                <w:sz w:val="22"/>
                <w:szCs w:val="22"/>
                <w:lang w:val="zh-CN" w:eastAsia="zh-CN" w:bidi="zh-CN"/>
              </w:rPr>
            </w:pPr>
            <w:r>
              <w:rPr>
                <w:rFonts w:cs="宋体" w:hint="eastAsia"/>
                <w:spacing w:val="-1"/>
                <w:sz w:val="22"/>
                <w:szCs w:val="22"/>
                <w:lang w:val="zh-CN" w:eastAsia="zh-CN" w:bidi="zh-CN"/>
              </w:rPr>
              <w:t>女</w:t>
            </w:r>
          </w:p>
        </w:tc>
        <w:tc>
          <w:tcPr>
            <w:tcW w:w="821" w:type="dxa"/>
            <w:vAlign w:val="center"/>
          </w:tcPr>
          <w:p>
            <w:pPr>
              <w:pStyle w:val="TableParagraph"/>
              <w:jc w:val="center"/>
              <w:rPr>
                <w:rFonts w:ascii="宋体" w:eastAsia="宋体" w:hAnsi="宋体" w:cs="宋体" w:hint="default"/>
                <w:spacing w:val="-1"/>
                <w:sz w:val="22"/>
                <w:szCs w:val="22"/>
                <w:lang w:val="en-US" w:eastAsia="zh-CN" w:bidi="zh-CN"/>
              </w:rPr>
            </w:pPr>
            <w:r>
              <w:rPr>
                <w:rFonts w:cs="宋体" w:hint="eastAsia"/>
                <w:spacing w:val="-1"/>
                <w:sz w:val="22"/>
                <w:szCs w:val="22"/>
                <w:lang w:val="en-US" w:eastAsia="zh-CN" w:bidi="zh-CN"/>
              </w:rPr>
              <w:t>1992-04</w:t>
            </w:r>
          </w:p>
        </w:tc>
        <w:tc>
          <w:tcPr>
            <w:tcW w:w="1156" w:type="dxa"/>
            <w:vAlign w:val="center"/>
          </w:tcPr>
          <w:p>
            <w:pPr>
              <w:pStyle w:val="TableParagraph"/>
              <w:jc w:val="center"/>
              <w:rPr>
                <w:rFonts w:ascii="宋体" w:eastAsia="宋体" w:hAnsi="宋体" w:cs="宋体" w:hint="eastAsia"/>
                <w:spacing w:val="-1"/>
                <w:sz w:val="22"/>
                <w:szCs w:val="22"/>
                <w:lang w:val="en-US" w:eastAsia="zh-CN" w:bidi="zh-CN"/>
              </w:rPr>
            </w:pPr>
            <w:r>
              <w:rPr>
                <w:rFonts w:cs="宋体" w:hint="eastAsia"/>
                <w:spacing w:val="-1"/>
                <w:sz w:val="22"/>
                <w:szCs w:val="22"/>
                <w:lang w:val="en-US" w:eastAsia="zh-CN" w:bidi="zh-CN"/>
              </w:rPr>
              <w:t>中外电影史</w:t>
            </w:r>
          </w:p>
        </w:tc>
        <w:tc>
          <w:tcPr>
            <w:tcW w:w="1118" w:type="dxa"/>
            <w:vAlign w:val="center"/>
          </w:tcPr>
          <w:p>
            <w:pPr>
              <w:jc w:val="center"/>
              <w:rPr>
                <w:rFonts w:ascii="宋体" w:eastAsia="宋体" w:hAnsi="宋体" w:cs="宋体" w:hint="eastAsia"/>
                <w:spacing w:val="-1"/>
                <w:sz w:val="22"/>
                <w:szCs w:val="22"/>
                <w:lang w:val="en-US" w:eastAsia="zh-CN" w:bidi="zh-CN"/>
              </w:rPr>
            </w:pPr>
            <w:r>
              <w:rPr>
                <w:rFonts w:hint="eastAsia"/>
                <w:spacing w:val="-1"/>
                <w:lang w:val="en-US" w:eastAsia="zh-CN"/>
              </w:rPr>
              <w:t>讲师</w:t>
            </w:r>
          </w:p>
        </w:tc>
        <w:tc>
          <w:tcPr>
            <w:tcW w:w="1188" w:type="dxa"/>
            <w:vAlign w:val="center"/>
          </w:tcPr>
          <w:p>
            <w:pPr>
              <w:jc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英国伯明翰大学</w:t>
            </w:r>
          </w:p>
        </w:tc>
        <w:tc>
          <w:tcPr>
            <w:tcW w:w="1107" w:type="dxa"/>
            <w:vAlign w:val="center"/>
          </w:tcPr>
          <w:p>
            <w:pPr>
              <w:pStyle w:val="TableParagraph"/>
              <w:jc w:val="center"/>
              <w:rPr>
                <w:rFonts w:ascii="宋体" w:eastAsia="宋体" w:hAnsi="宋体" w:cs="宋体" w:hint="eastAsia"/>
                <w:spacing w:val="-1"/>
                <w:sz w:val="22"/>
                <w:szCs w:val="22"/>
                <w:lang w:val="en-US" w:eastAsia="zh-CN" w:bidi="zh-CN"/>
              </w:rPr>
            </w:pPr>
            <w:r>
              <w:rPr>
                <w:rFonts w:cs="宋体" w:hint="eastAsia"/>
                <w:spacing w:val="-1"/>
                <w:sz w:val="22"/>
                <w:szCs w:val="22"/>
                <w:lang w:val="en-US" w:eastAsia="zh-CN" w:bidi="zh-CN"/>
              </w:rPr>
              <w:t>全球媒体管理</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jc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影视传播</w:t>
            </w:r>
          </w:p>
        </w:tc>
        <w:tc>
          <w:tcPr>
            <w:tcW w:w="863" w:type="dxa"/>
            <w:vAlign w:val="center"/>
          </w:tcPr>
          <w:p>
            <w:pPr>
              <w:jc w:val="center"/>
              <w:rPr>
                <w:rFonts w:ascii="宋体" w:eastAsia="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石绍钥</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1994-03</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摄影摄像基础</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讲师</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河北大学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广播电视</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摄影摄像</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杨然</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男</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1995-02</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舞台发声</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讲师</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赣南师范大学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广播电视</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播音与主持艺术</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刘思彤</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1996-09</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戏剧影视文学（编剧）</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未评级</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浙江师范大学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广播电视艺术学</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戏剧与影视文学</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强淑宇</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男</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1996-12</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中外戏剧史</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未评级</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赣南师范大学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广播电视</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spacing w:val="-1"/>
                <w:sz w:val="22"/>
                <w:szCs w:val="22"/>
                <w:lang w:val="en-US" w:eastAsia="zh-CN" w:bidi="zh-CN"/>
              </w:rPr>
            </w:pPr>
            <w:r>
              <w:rPr>
                <w:rFonts w:cs="宋体" w:hint="eastAsia"/>
                <w:spacing w:val="-1"/>
                <w:sz w:val="22"/>
                <w:szCs w:val="22"/>
                <w:lang w:val="en-US" w:eastAsia="zh-CN" w:bidi="zh-CN"/>
              </w:rPr>
              <w:t>广播电视编导</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李云璐</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1995-12</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影片欣赏</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助教</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河北师范大学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艺术学理论</w:t>
            </w:r>
          </w:p>
        </w:tc>
        <w:tc>
          <w:tcPr>
            <w:tcW w:w="1131" w:type="dxa"/>
            <w:vAlign w:val="center"/>
          </w:tcPr>
          <w:p>
            <w:pPr>
              <w:jc w:val="center"/>
              <w:rPr>
                <w:rFonts w:ascii="宋体" w:hAnsi="宋体" w:cs="宋体" w:hint="eastAsia"/>
                <w:spacing w:val="-1"/>
                <w:lang w:val="en-US" w:eastAsia="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spacing w:val="-1"/>
                <w:sz w:val="22"/>
                <w:szCs w:val="22"/>
                <w:lang w:val="en-US" w:eastAsia="zh-CN" w:bidi="zh-CN"/>
              </w:rPr>
            </w:pPr>
            <w:r>
              <w:rPr>
                <w:rFonts w:cs="宋体" w:hint="eastAsia"/>
                <w:spacing w:val="-1"/>
                <w:sz w:val="22"/>
                <w:szCs w:val="22"/>
                <w:lang w:val="en-US" w:eastAsia="zh-CN" w:bidi="zh-CN"/>
              </w:rPr>
              <w:t>戏剧与影视文学</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赵浴冰</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1994-06</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乐理</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讲师</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河北师范大学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音乐学</w:t>
            </w:r>
          </w:p>
        </w:tc>
        <w:tc>
          <w:tcPr>
            <w:tcW w:w="1131"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lang w:val="en-US" w:eastAsia="zh-CN"/>
              </w:rPr>
              <w:t>学士</w:t>
            </w:r>
          </w:p>
        </w:tc>
        <w:tc>
          <w:tcPr>
            <w:tcW w:w="969" w:type="dxa"/>
            <w:vAlign w:val="center"/>
          </w:tcPr>
          <w:p>
            <w:pPr>
              <w:widowControl/>
              <w:jc w:val="center"/>
              <w:textAlignment w:val="center"/>
              <w:rPr>
                <w:rFonts w:ascii="宋体" w:hAnsi="宋体" w:cs="宋体"/>
                <w:spacing w:val="-1"/>
                <w:sz w:val="22"/>
                <w:szCs w:val="22"/>
                <w:lang w:val="en-US" w:eastAsia="zh-CN" w:bidi="zh-CN"/>
              </w:rPr>
            </w:pPr>
            <w:r>
              <w:rPr>
                <w:rFonts w:cs="宋体" w:hint="eastAsia"/>
                <w:spacing w:val="-1"/>
                <w:sz w:val="22"/>
                <w:szCs w:val="22"/>
                <w:lang w:val="en-US" w:eastAsia="zh-CN" w:bidi="zh-CN"/>
              </w:rPr>
              <w:t>声乐演唱</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吴沫然</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1995-07</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钢琴基础</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助教</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宁夏大学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音乐学</w:t>
            </w:r>
          </w:p>
        </w:tc>
        <w:tc>
          <w:tcPr>
            <w:tcW w:w="1131"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lang w:val="en-US" w:eastAsia="zh-CN"/>
              </w:rPr>
              <w:t>学士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声乐演唱</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刘智慧</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1992-08</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视唱练耳</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讲师</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华东交通大学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音乐表演</w:t>
            </w:r>
          </w:p>
        </w:tc>
        <w:tc>
          <w:tcPr>
            <w:tcW w:w="1131"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声乐演唱</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马川</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男</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1995-10</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中国民族民间舞（一）</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讲师</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菲律宾永恒大学</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艺术教育</w:t>
            </w:r>
          </w:p>
        </w:tc>
        <w:tc>
          <w:tcPr>
            <w:tcW w:w="1131"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spacing w:val="-1"/>
                <w:sz w:val="22"/>
                <w:szCs w:val="22"/>
                <w:lang w:val="en-US" w:eastAsia="zh-CN" w:bidi="zh-CN"/>
              </w:rPr>
            </w:pPr>
            <w:r>
              <w:rPr>
                <w:rFonts w:cs="宋体" w:hint="eastAsia"/>
                <w:spacing w:val="-1"/>
                <w:sz w:val="22"/>
                <w:szCs w:val="22"/>
                <w:lang w:val="en-US" w:eastAsia="zh-CN" w:bidi="zh-CN"/>
              </w:rPr>
              <w:t>民族舞</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宋体" w:hAnsi="宋体" w:cs="宋体" w:hint="eastAsia"/>
                <w:spacing w:val="-1"/>
                <w:sz w:val="24"/>
                <w:szCs w:val="24"/>
                <w:lang w:val="en-US" w:eastAsia="zh-CN" w:bidi="zh-CN"/>
              </w:rPr>
            </w:pPr>
            <w:r>
              <w:rPr>
                <w:rFonts w:cs="宋体" w:hint="eastAsia"/>
                <w:spacing w:val="-1"/>
                <w:sz w:val="24"/>
                <w:szCs w:val="24"/>
                <w:lang w:val="en-US" w:eastAsia="zh-CN" w:bidi="zh-CN"/>
              </w:rPr>
              <w:t>李惠</w:t>
            </w:r>
          </w:p>
        </w:tc>
        <w:tc>
          <w:tcPr>
            <w:tcW w:w="72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女</w:t>
            </w:r>
          </w:p>
        </w:tc>
        <w:tc>
          <w:tcPr>
            <w:tcW w:w="821" w:type="dxa"/>
            <w:vAlign w:val="center"/>
          </w:tcPr>
          <w:p>
            <w:pPr>
              <w:widowControl/>
              <w:jc w:val="center"/>
              <w:textAlignment w:val="center"/>
              <w:rPr>
                <w:rFonts w:ascii="宋体" w:hAnsi="宋体" w:cs="宋体" w:hint="default"/>
                <w:spacing w:val="-1"/>
                <w:sz w:val="22"/>
                <w:szCs w:val="22"/>
                <w:lang w:val="en-US" w:eastAsia="zh-CN" w:bidi="zh-CN"/>
              </w:rPr>
            </w:pPr>
            <w:r>
              <w:rPr>
                <w:rFonts w:cs="宋体" w:hint="eastAsia"/>
                <w:spacing w:val="-1"/>
                <w:sz w:val="22"/>
                <w:szCs w:val="22"/>
                <w:lang w:val="en-US" w:eastAsia="zh-CN" w:bidi="zh-CN"/>
              </w:rPr>
              <w:t>1996-06</w:t>
            </w:r>
          </w:p>
        </w:tc>
        <w:tc>
          <w:tcPr>
            <w:tcW w:w="1156"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芭蕾基本功训练</w:t>
            </w:r>
          </w:p>
        </w:tc>
        <w:tc>
          <w:tcPr>
            <w:tcW w:w="111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未评级</w:t>
            </w:r>
          </w:p>
        </w:tc>
        <w:tc>
          <w:tcPr>
            <w:tcW w:w="1188"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成都体育学院</w:t>
            </w:r>
          </w:p>
        </w:tc>
        <w:tc>
          <w:tcPr>
            <w:tcW w:w="1107"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体育教学</w:t>
            </w:r>
          </w:p>
        </w:tc>
        <w:tc>
          <w:tcPr>
            <w:tcW w:w="1131"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硕士</w:t>
            </w:r>
          </w:p>
        </w:tc>
        <w:tc>
          <w:tcPr>
            <w:tcW w:w="969" w:type="dxa"/>
            <w:vAlign w:val="center"/>
          </w:tcPr>
          <w:p>
            <w:pPr>
              <w:widowControl/>
              <w:jc w:val="center"/>
              <w:textAlignment w:val="center"/>
              <w:rPr>
                <w:rFonts w:ascii="宋体" w:hAnsi="宋体" w:cs="宋体" w:hint="eastAsia"/>
                <w:spacing w:val="-1"/>
                <w:sz w:val="22"/>
                <w:szCs w:val="22"/>
                <w:lang w:val="en-US" w:eastAsia="zh-CN" w:bidi="zh-CN"/>
              </w:rPr>
            </w:pPr>
            <w:r>
              <w:rPr>
                <w:rFonts w:cs="宋体" w:hint="eastAsia"/>
                <w:spacing w:val="-1"/>
                <w:sz w:val="22"/>
                <w:szCs w:val="22"/>
                <w:lang w:val="en-US" w:eastAsia="zh-CN" w:bidi="zh-CN"/>
              </w:rPr>
              <w:t>舞蹈表演</w:t>
            </w:r>
          </w:p>
        </w:tc>
        <w:tc>
          <w:tcPr>
            <w:tcW w:w="863" w:type="dxa"/>
            <w:vAlign w:val="center"/>
          </w:tcPr>
          <w:p>
            <w:pPr>
              <w:widowControl/>
              <w:jc w:val="center"/>
              <w:textAlignment w:val="center"/>
              <w:rPr>
                <w:rFonts w:ascii="宋体" w:hAnsi="宋体" w:cs="宋体" w:hint="eastAsia"/>
                <w:spacing w:val="-1"/>
                <w:sz w:val="22"/>
                <w:szCs w:val="22"/>
                <w:lang w:val="en-US" w:eastAsia="zh-CN" w:bidi="zh-CN"/>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eastAsia="宋体" w:hint="eastAsia"/>
                <w:spacing w:val="-1"/>
                <w:sz w:val="24"/>
                <w:szCs w:val="24"/>
                <w:lang w:val="en-US" w:eastAsia="zh-CN"/>
              </w:rPr>
            </w:pPr>
            <w:r>
              <w:rPr>
                <w:rFonts w:hint="eastAsia"/>
                <w:spacing w:val="-1"/>
                <w:sz w:val="24"/>
                <w:szCs w:val="24"/>
                <w:lang w:val="en-US" w:eastAsia="zh-CN"/>
              </w:rPr>
              <w:t>吴非格</w:t>
            </w:r>
          </w:p>
        </w:tc>
        <w:tc>
          <w:tcPr>
            <w:tcW w:w="727" w:type="dxa"/>
            <w:vAlign w:val="center"/>
          </w:tcPr>
          <w:p>
            <w:pPr>
              <w:widowControl/>
              <w:jc w:val="center"/>
              <w:textAlignment w:val="center"/>
              <w:rPr>
                <w:rFonts w:eastAsia="宋体" w:hint="eastAsia"/>
                <w:spacing w:val="-1"/>
                <w:lang w:val="en-US" w:eastAsia="zh-CN"/>
              </w:rPr>
            </w:pPr>
            <w:r>
              <w:rPr>
                <w:rFonts w:hint="eastAsia"/>
                <w:spacing w:val="-1"/>
                <w:lang w:val="en-US" w:eastAsia="zh-CN"/>
              </w:rPr>
              <w:t>女</w:t>
            </w:r>
          </w:p>
        </w:tc>
        <w:tc>
          <w:tcPr>
            <w:tcW w:w="821" w:type="dxa"/>
            <w:vAlign w:val="center"/>
          </w:tcPr>
          <w:p>
            <w:pPr>
              <w:widowControl/>
              <w:jc w:val="center"/>
              <w:textAlignment w:val="center"/>
              <w:rPr>
                <w:rFonts w:eastAsia="宋体" w:hint="default"/>
                <w:spacing w:val="-1"/>
                <w:lang w:val="en-US" w:eastAsia="zh-CN"/>
              </w:rPr>
            </w:pPr>
            <w:r>
              <w:rPr>
                <w:rFonts w:hint="eastAsia"/>
                <w:spacing w:val="-1"/>
                <w:lang w:val="en-US" w:eastAsia="zh-CN"/>
              </w:rPr>
              <w:t>1995-07</w:t>
            </w:r>
          </w:p>
        </w:tc>
        <w:tc>
          <w:tcPr>
            <w:tcW w:w="1156" w:type="dxa"/>
            <w:vAlign w:val="center"/>
          </w:tcPr>
          <w:p>
            <w:pPr>
              <w:widowControl/>
              <w:jc w:val="center"/>
              <w:textAlignment w:val="center"/>
              <w:rPr>
                <w:rFonts w:hint="eastAsia"/>
                <w:spacing w:val="-1"/>
                <w:lang w:val="en-US"/>
              </w:rPr>
            </w:pPr>
            <w:r>
              <w:rPr>
                <w:rFonts w:cs="宋体" w:hint="eastAsia"/>
                <w:spacing w:val="-1"/>
                <w:sz w:val="22"/>
                <w:szCs w:val="22"/>
                <w:lang w:val="en-US" w:eastAsia="zh-CN" w:bidi="zh-CN"/>
              </w:rPr>
              <w:t>中国古典身韵舞</w:t>
            </w:r>
          </w:p>
        </w:tc>
        <w:tc>
          <w:tcPr>
            <w:tcW w:w="1118" w:type="dxa"/>
            <w:vAlign w:val="center"/>
          </w:tcPr>
          <w:p>
            <w:pPr>
              <w:widowControl/>
              <w:jc w:val="center"/>
              <w:textAlignment w:val="center"/>
              <w:rPr>
                <w:rFonts w:eastAsia="宋体" w:hint="eastAsia"/>
                <w:spacing w:val="-1"/>
                <w:highlight w:val="none"/>
                <w:lang w:val="en-US" w:eastAsia="zh-CN"/>
              </w:rPr>
            </w:pPr>
            <w:r>
              <w:rPr>
                <w:rFonts w:eastAsia="宋体" w:hint="eastAsia"/>
                <w:spacing w:val="-1"/>
                <w:highlight w:val="none"/>
                <w:lang w:val="en-US" w:eastAsia="zh-CN"/>
              </w:rPr>
              <w:t>助教</w:t>
            </w:r>
          </w:p>
        </w:tc>
        <w:tc>
          <w:tcPr>
            <w:tcW w:w="1188" w:type="dxa"/>
            <w:vAlign w:val="center"/>
          </w:tcPr>
          <w:p>
            <w:pPr>
              <w:widowControl/>
              <w:jc w:val="center"/>
              <w:textAlignment w:val="center"/>
              <w:rPr>
                <w:rFonts w:eastAsia="宋体" w:hint="eastAsia"/>
                <w:spacing w:val="-1"/>
                <w:lang w:val="en-US" w:eastAsia="zh-CN"/>
              </w:rPr>
            </w:pPr>
            <w:r>
              <w:rPr>
                <w:rFonts w:hint="eastAsia"/>
                <w:spacing w:val="-1"/>
                <w:lang w:val="en-US" w:eastAsia="zh-CN"/>
              </w:rPr>
              <w:t>武汉体育学院</w:t>
            </w:r>
          </w:p>
        </w:tc>
        <w:tc>
          <w:tcPr>
            <w:tcW w:w="1107" w:type="dxa"/>
            <w:vAlign w:val="center"/>
          </w:tcPr>
          <w:p>
            <w:pPr>
              <w:widowControl/>
              <w:jc w:val="center"/>
              <w:textAlignment w:val="center"/>
              <w:rPr>
                <w:rFonts w:eastAsia="宋体" w:hint="eastAsia"/>
                <w:spacing w:val="-1"/>
                <w:lang w:val="en-US" w:eastAsia="zh-CN"/>
              </w:rPr>
            </w:pPr>
            <w:r>
              <w:rPr>
                <w:rFonts w:hint="eastAsia"/>
                <w:spacing w:val="-1"/>
                <w:lang w:val="en-US" w:eastAsia="zh-CN"/>
              </w:rPr>
              <w:t>舞蹈表演</w:t>
            </w:r>
          </w:p>
        </w:tc>
        <w:tc>
          <w:tcPr>
            <w:tcW w:w="1131" w:type="dxa"/>
            <w:vAlign w:val="center"/>
          </w:tcPr>
          <w:p>
            <w:pPr>
              <w:widowControl/>
              <w:jc w:val="center"/>
              <w:textAlignment w:val="center"/>
              <w:rPr>
                <w:rFonts w:eastAsia="宋体" w:hint="eastAsia"/>
                <w:spacing w:val="-1"/>
                <w:lang w:val="en-US" w:eastAsia="zh-CN"/>
              </w:rPr>
            </w:pPr>
            <w:r>
              <w:rPr>
                <w:rFonts w:hint="eastAsia"/>
                <w:spacing w:val="-1"/>
                <w:lang w:val="en-US" w:eastAsia="zh-CN"/>
              </w:rPr>
              <w:t>硕士</w:t>
            </w:r>
          </w:p>
        </w:tc>
        <w:tc>
          <w:tcPr>
            <w:tcW w:w="969" w:type="dxa"/>
            <w:vAlign w:val="center"/>
          </w:tcPr>
          <w:p>
            <w:pPr>
              <w:widowControl/>
              <w:jc w:val="both"/>
              <w:textAlignment w:val="center"/>
              <w:rPr>
                <w:rFonts w:eastAsia="宋体" w:hint="eastAsia"/>
                <w:spacing w:val="-1"/>
                <w:lang w:val="en-US" w:eastAsia="zh-CN"/>
              </w:rPr>
            </w:pPr>
            <w:r>
              <w:rPr>
                <w:rFonts w:hint="eastAsia"/>
                <w:spacing w:val="-1"/>
                <w:lang w:val="en-US" w:eastAsia="zh-CN"/>
              </w:rPr>
              <w:t>舞蹈表演</w:t>
            </w:r>
          </w:p>
        </w:tc>
        <w:tc>
          <w:tcPr>
            <w:tcW w:w="863" w:type="dxa"/>
            <w:vAlign w:val="center"/>
          </w:tcPr>
          <w:p>
            <w:pPr>
              <w:widowControl/>
              <w:jc w:val="center"/>
              <w:textAlignment w:val="center"/>
              <w:rPr>
                <w:rFonts w:hint="eastAsia"/>
                <w:spacing w:val="-1"/>
                <w:lang w:val="en-US"/>
              </w:rPr>
            </w:pPr>
            <w:r>
              <w:rPr>
                <w:rFonts w:hint="eastAsia"/>
                <w:spacing w:val="-1"/>
                <w:lang w:val="en-US" w:eastAsia="zh-CN"/>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Arial" w:eastAsia="宋体" w:hAnsi="Arial" w:cs="Arial" w:hint="eastAsia"/>
                <w:color w:val="000000"/>
                <w:sz w:val="24"/>
                <w:szCs w:val="24"/>
                <w:lang w:val="en-US" w:eastAsia="zh-CN" w:bidi="ar"/>
              </w:rPr>
            </w:pPr>
            <w:r>
              <w:rPr>
                <w:rFonts w:ascii="Arial" w:hAnsi="Arial" w:cs="Arial" w:hint="eastAsia"/>
                <w:color w:val="000000"/>
                <w:sz w:val="24"/>
                <w:szCs w:val="24"/>
                <w:lang w:val="en-US" w:eastAsia="zh-CN" w:bidi="ar"/>
              </w:rPr>
              <w:t>杨鹏琳</w:t>
            </w:r>
          </w:p>
        </w:tc>
        <w:tc>
          <w:tcPr>
            <w:tcW w:w="727"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女</w:t>
            </w:r>
          </w:p>
        </w:tc>
        <w:tc>
          <w:tcPr>
            <w:tcW w:w="821" w:type="dxa"/>
            <w:vAlign w:val="center"/>
          </w:tcPr>
          <w:p>
            <w:pPr>
              <w:widowControl/>
              <w:jc w:val="center"/>
              <w:textAlignment w:val="center"/>
              <w:rPr>
                <w:rFonts w:eastAsia="宋体" w:hint="default"/>
                <w:spacing w:val="-1"/>
                <w:lang w:val="en-US" w:eastAsia="zh-CN"/>
              </w:rPr>
            </w:pPr>
            <w:r>
              <w:rPr>
                <w:rFonts w:hint="eastAsia"/>
                <w:spacing w:val="-1"/>
                <w:lang w:val="en-US" w:eastAsia="zh-CN"/>
              </w:rPr>
              <w:t>1993-10</w:t>
            </w:r>
          </w:p>
        </w:tc>
        <w:tc>
          <w:tcPr>
            <w:tcW w:w="1156" w:type="dxa"/>
            <w:vAlign w:val="center"/>
          </w:tcPr>
          <w:p>
            <w:pPr>
              <w:widowControl/>
              <w:jc w:val="center"/>
              <w:textAlignment w:val="center"/>
              <w:rPr>
                <w:rFonts w:ascii="Arial" w:hAnsi="Arial" w:cs="Arial"/>
                <w:color w:val="000000"/>
                <w:lang w:val="en-US" w:bidi="ar"/>
              </w:rPr>
            </w:pPr>
            <w:r>
              <w:rPr>
                <w:rFonts w:cs="宋体" w:hint="eastAsia"/>
                <w:spacing w:val="-1"/>
                <w:sz w:val="22"/>
                <w:szCs w:val="22"/>
                <w:lang w:val="en-US" w:eastAsia="zh-CN" w:bidi="zh-CN"/>
              </w:rPr>
              <w:t>中国民族民间舞（二）</w:t>
            </w:r>
          </w:p>
        </w:tc>
        <w:tc>
          <w:tcPr>
            <w:tcW w:w="1118" w:type="dxa"/>
            <w:vAlign w:val="center"/>
          </w:tcPr>
          <w:p>
            <w:pPr>
              <w:widowControl/>
              <w:jc w:val="center"/>
              <w:textAlignment w:val="center"/>
              <w:rPr>
                <w:rFonts w:ascii="Arial" w:eastAsia="宋体" w:hAnsi="Arial" w:cs="Arial" w:hint="eastAsia"/>
                <w:color w:val="000000"/>
                <w:highlight w:val="none"/>
                <w:lang w:val="en-US" w:eastAsia="zh-CN" w:bidi="ar"/>
              </w:rPr>
            </w:pPr>
            <w:r>
              <w:rPr>
                <w:rFonts w:cs="宋体" w:hint="eastAsia"/>
                <w:spacing w:val="-1"/>
                <w:sz w:val="22"/>
                <w:szCs w:val="22"/>
                <w:lang w:val="en-US" w:eastAsia="zh-CN" w:bidi="zh-CN"/>
              </w:rPr>
              <w:t>讲师</w:t>
            </w:r>
          </w:p>
        </w:tc>
        <w:tc>
          <w:tcPr>
            <w:tcW w:w="1188"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陕西师范大学</w:t>
            </w:r>
          </w:p>
        </w:tc>
        <w:tc>
          <w:tcPr>
            <w:tcW w:w="1107" w:type="dxa"/>
            <w:vAlign w:val="center"/>
          </w:tcPr>
          <w:p>
            <w:pPr>
              <w:jc w:val="center"/>
              <w:rPr>
                <w:rFonts w:ascii="Arial" w:eastAsia="宋体" w:hAnsi="Arial" w:cs="Arial" w:hint="eastAsia"/>
                <w:color w:val="000000"/>
                <w:lang w:val="en-US" w:eastAsia="zh-CN" w:bidi="ar"/>
              </w:rPr>
            </w:pPr>
            <w:r>
              <w:rPr>
                <w:rFonts w:ascii="Arial" w:hAnsi="Arial" w:cs="Arial" w:hint="eastAsia"/>
                <w:color w:val="000000"/>
                <w:lang w:val="en-US" w:eastAsia="zh-CN" w:bidi="ar"/>
              </w:rPr>
              <w:t>舞蹈编导</w:t>
            </w:r>
          </w:p>
        </w:tc>
        <w:tc>
          <w:tcPr>
            <w:tcW w:w="1131" w:type="dxa"/>
            <w:vAlign w:val="center"/>
          </w:tcPr>
          <w:p>
            <w:pPr>
              <w:widowControl/>
              <w:jc w:val="center"/>
              <w:textAlignment w:val="center"/>
              <w:rPr>
                <w:rFonts w:ascii="Arial" w:eastAsia="宋体" w:hAnsi="Arial" w:cs="Arial" w:hint="eastAsia"/>
                <w:color w:val="000000"/>
                <w:lang w:val="en-US" w:eastAsia="zh-CN" w:bidi="ar"/>
              </w:rPr>
            </w:pPr>
            <w:r>
              <w:rPr>
                <w:rFonts w:hint="eastAsia"/>
                <w:spacing w:val="-1"/>
                <w:lang w:val="en-US" w:eastAsia="zh-CN"/>
              </w:rPr>
              <w:t>硕士</w:t>
            </w:r>
          </w:p>
        </w:tc>
        <w:tc>
          <w:tcPr>
            <w:tcW w:w="969" w:type="dxa"/>
            <w:vAlign w:val="center"/>
          </w:tcPr>
          <w:p>
            <w:pPr>
              <w:jc w:val="center"/>
              <w:rPr>
                <w:rFonts w:eastAsia="宋体" w:hint="eastAsia"/>
                <w:color w:val="000000"/>
                <w:lang w:eastAsia="zh-CN"/>
              </w:rPr>
            </w:pPr>
            <w:r>
              <w:rPr>
                <w:rFonts w:hint="eastAsia"/>
                <w:color w:val="000000"/>
                <w:lang w:eastAsia="zh-CN"/>
              </w:rPr>
              <w:t>舞蹈表演</w:t>
            </w:r>
          </w:p>
        </w:tc>
        <w:tc>
          <w:tcPr>
            <w:tcW w:w="863"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专职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Arial" w:hAnsi="Arial" w:cs="Arial" w:hint="eastAsia"/>
                <w:color w:val="000000"/>
                <w:sz w:val="24"/>
                <w:szCs w:val="24"/>
                <w:lang w:val="en-US" w:eastAsia="zh-CN" w:bidi="ar"/>
              </w:rPr>
            </w:pPr>
            <w:r>
              <w:rPr>
                <w:rFonts w:ascii="Arial" w:hAnsi="Arial" w:cs="Arial" w:hint="eastAsia"/>
                <w:color w:val="000000"/>
                <w:sz w:val="24"/>
                <w:szCs w:val="24"/>
                <w:lang w:val="en-US" w:eastAsia="zh-CN" w:bidi="ar"/>
              </w:rPr>
              <w:t>韩英杰</w:t>
            </w:r>
          </w:p>
        </w:tc>
        <w:tc>
          <w:tcPr>
            <w:tcW w:w="727"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男</w:t>
            </w:r>
          </w:p>
        </w:tc>
        <w:tc>
          <w:tcPr>
            <w:tcW w:w="821" w:type="dxa"/>
            <w:vAlign w:val="center"/>
          </w:tcPr>
          <w:p>
            <w:pPr>
              <w:widowControl/>
              <w:jc w:val="center"/>
              <w:textAlignment w:val="center"/>
              <w:rPr>
                <w:rFonts w:eastAsia="宋体" w:hint="default"/>
                <w:spacing w:val="-1"/>
                <w:lang w:val="en-US" w:eastAsia="zh-CN"/>
              </w:rPr>
            </w:pPr>
            <w:r>
              <w:rPr>
                <w:rFonts w:hint="eastAsia"/>
                <w:spacing w:val="-1"/>
                <w:lang w:val="en-US" w:eastAsia="zh-CN"/>
              </w:rPr>
              <w:t>1970-12</w:t>
            </w:r>
          </w:p>
        </w:tc>
        <w:tc>
          <w:tcPr>
            <w:tcW w:w="1156"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表演（二）</w:t>
            </w:r>
          </w:p>
        </w:tc>
        <w:tc>
          <w:tcPr>
            <w:tcW w:w="1118" w:type="dxa"/>
            <w:vAlign w:val="center"/>
          </w:tcPr>
          <w:p>
            <w:pPr>
              <w:widowControl/>
              <w:jc w:val="center"/>
              <w:textAlignment w:val="center"/>
              <w:rPr>
                <w:rFonts w:ascii="Arial" w:eastAsia="宋体" w:hAnsi="Arial" w:cs="Arial" w:hint="default"/>
                <w:color w:val="000000"/>
                <w:highlight w:val="none"/>
                <w:lang w:val="en-US" w:eastAsia="zh-CN" w:bidi="ar"/>
              </w:rPr>
            </w:pPr>
            <w:r>
              <w:rPr>
                <w:rFonts w:ascii="Arial" w:eastAsia="宋体" w:hAnsi="Arial" w:cs="Arial" w:hint="eastAsia"/>
                <w:color w:val="000000"/>
                <w:highlight w:val="none"/>
                <w:lang w:val="en-US" w:eastAsia="zh-CN" w:bidi="ar"/>
              </w:rPr>
              <w:t>其他副高级</w:t>
            </w:r>
          </w:p>
        </w:tc>
        <w:tc>
          <w:tcPr>
            <w:tcW w:w="1188"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上海戏剧学院</w:t>
            </w:r>
          </w:p>
        </w:tc>
        <w:tc>
          <w:tcPr>
            <w:tcW w:w="1107" w:type="dxa"/>
            <w:vAlign w:val="center"/>
          </w:tcPr>
          <w:p>
            <w:pPr>
              <w:jc w:val="center"/>
              <w:rPr>
                <w:rFonts w:ascii="Arial" w:eastAsia="宋体" w:hAnsi="Arial" w:cs="Arial" w:hint="eastAsia"/>
                <w:color w:val="000000"/>
                <w:lang w:val="en-US" w:eastAsia="zh-CN" w:bidi="ar"/>
              </w:rPr>
            </w:pPr>
            <w:r>
              <w:rPr>
                <w:rFonts w:ascii="Arial" w:hAnsi="Arial" w:cs="Arial" w:hint="eastAsia"/>
                <w:color w:val="000000"/>
                <w:lang w:val="en-US" w:eastAsia="zh-CN" w:bidi="ar"/>
              </w:rPr>
              <w:t>戏剧表演</w:t>
            </w:r>
          </w:p>
        </w:tc>
        <w:tc>
          <w:tcPr>
            <w:tcW w:w="1131" w:type="dxa"/>
            <w:vAlign w:val="center"/>
          </w:tcPr>
          <w:p>
            <w:pPr>
              <w:widowControl/>
              <w:jc w:val="center"/>
              <w:textAlignment w:val="center"/>
              <w:rPr>
                <w:rFonts w:ascii="Arial" w:eastAsia="宋体" w:hAnsi="Arial" w:cs="Arial" w:hint="eastAsia"/>
                <w:color w:val="000000"/>
                <w:lang w:val="en-US" w:eastAsia="zh-CN" w:bidi="ar"/>
              </w:rPr>
            </w:pPr>
            <w:r>
              <w:rPr>
                <w:rFonts w:cs="宋体" w:hint="eastAsia"/>
                <w:spacing w:val="-1"/>
                <w:lang w:val="en-US" w:eastAsia="zh-CN"/>
              </w:rPr>
              <w:t>学士</w:t>
            </w:r>
          </w:p>
        </w:tc>
        <w:tc>
          <w:tcPr>
            <w:tcW w:w="969" w:type="dxa"/>
            <w:vAlign w:val="center"/>
          </w:tcPr>
          <w:p>
            <w:pPr>
              <w:jc w:val="center"/>
              <w:rPr>
                <w:rFonts w:eastAsia="宋体" w:hint="eastAsia"/>
                <w:color w:val="000000"/>
                <w:lang w:eastAsia="zh-CN"/>
              </w:rPr>
            </w:pPr>
            <w:r>
              <w:rPr>
                <w:rFonts w:hint="eastAsia"/>
                <w:color w:val="000000"/>
                <w:lang w:eastAsia="zh-CN"/>
              </w:rPr>
              <w:t>影视表演</w:t>
            </w:r>
          </w:p>
        </w:tc>
        <w:tc>
          <w:tcPr>
            <w:tcW w:w="863"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兼职</w:t>
            </w:r>
          </w:p>
        </w:tc>
      </w:tr>
      <w:tr>
        <w:tblPrEx>
          <w:tblW w:w="10152" w:type="dxa"/>
          <w:jc w:val="center"/>
          <w:tblInd w:w="-589" w:type="dxa"/>
          <w:tblLayout w:type="fixed"/>
          <w:tblCellMar>
            <w:top w:w="0" w:type="dxa"/>
            <w:left w:w="0" w:type="dxa"/>
            <w:bottom w:w="0" w:type="dxa"/>
            <w:right w:w="0" w:type="dxa"/>
          </w:tblCellMar>
          <w:tblLook w:val="0000"/>
        </w:tblPrEx>
        <w:trPr>
          <w:trHeight w:val="480"/>
          <w:jc w:val="center"/>
        </w:trPr>
        <w:tc>
          <w:tcPr>
            <w:tcW w:w="1072" w:type="dxa"/>
            <w:vAlign w:val="center"/>
          </w:tcPr>
          <w:p>
            <w:pPr>
              <w:widowControl/>
              <w:jc w:val="center"/>
              <w:textAlignment w:val="center"/>
              <w:rPr>
                <w:rFonts w:ascii="Arial" w:hAnsi="Arial" w:cs="Arial" w:hint="eastAsia"/>
                <w:color w:val="000000"/>
                <w:sz w:val="24"/>
                <w:szCs w:val="24"/>
                <w:lang w:val="en-US" w:eastAsia="zh-CN" w:bidi="ar"/>
              </w:rPr>
            </w:pPr>
            <w:r>
              <w:rPr>
                <w:rFonts w:ascii="Arial" w:hAnsi="Arial" w:cs="Arial" w:hint="eastAsia"/>
                <w:color w:val="000000"/>
                <w:sz w:val="24"/>
                <w:szCs w:val="24"/>
                <w:lang w:val="en-US" w:eastAsia="zh-CN" w:bidi="ar"/>
              </w:rPr>
              <w:t>王蕊</w:t>
            </w:r>
          </w:p>
        </w:tc>
        <w:tc>
          <w:tcPr>
            <w:tcW w:w="727" w:type="dxa"/>
            <w:vAlign w:val="center"/>
          </w:tcPr>
          <w:p>
            <w:pPr>
              <w:widowControl/>
              <w:jc w:val="center"/>
              <w:textAlignment w:val="center"/>
              <w:rPr>
                <w:rFonts w:ascii="Arial" w:hAnsi="Arial" w:cs="Arial" w:hint="eastAsia"/>
                <w:color w:val="000000"/>
                <w:lang w:val="en-US" w:eastAsia="zh-CN" w:bidi="ar"/>
              </w:rPr>
            </w:pPr>
            <w:r>
              <w:rPr>
                <w:rFonts w:ascii="Arial" w:hAnsi="Arial" w:cs="Arial" w:hint="eastAsia"/>
                <w:color w:val="000000"/>
                <w:lang w:val="en-US" w:eastAsia="zh-CN" w:bidi="ar"/>
              </w:rPr>
              <w:t>女</w:t>
            </w:r>
          </w:p>
        </w:tc>
        <w:tc>
          <w:tcPr>
            <w:tcW w:w="821" w:type="dxa"/>
            <w:vAlign w:val="center"/>
          </w:tcPr>
          <w:p>
            <w:pPr>
              <w:widowControl/>
              <w:jc w:val="center"/>
              <w:textAlignment w:val="center"/>
              <w:rPr>
                <w:rFonts w:hint="default"/>
                <w:spacing w:val="-1"/>
                <w:lang w:val="en-US" w:eastAsia="zh-CN"/>
              </w:rPr>
            </w:pPr>
            <w:r>
              <w:rPr>
                <w:rFonts w:hint="eastAsia"/>
                <w:spacing w:val="-1"/>
                <w:lang w:val="en-US" w:eastAsia="zh-CN"/>
              </w:rPr>
              <w:t>1985-11</w:t>
            </w:r>
          </w:p>
        </w:tc>
        <w:tc>
          <w:tcPr>
            <w:tcW w:w="1156"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语言技巧</w:t>
            </w:r>
          </w:p>
        </w:tc>
        <w:tc>
          <w:tcPr>
            <w:tcW w:w="1118" w:type="dxa"/>
            <w:vAlign w:val="center"/>
          </w:tcPr>
          <w:p>
            <w:pPr>
              <w:widowControl/>
              <w:jc w:val="center"/>
              <w:textAlignment w:val="center"/>
              <w:rPr>
                <w:rFonts w:ascii="Arial" w:eastAsia="宋体" w:hAnsi="Arial" w:cs="Arial" w:hint="eastAsia"/>
                <w:color w:val="000000"/>
                <w:highlight w:val="none"/>
                <w:lang w:val="en-US" w:eastAsia="zh-CN" w:bidi="ar"/>
              </w:rPr>
            </w:pPr>
            <w:r>
              <w:rPr>
                <w:rFonts w:ascii="Arial" w:eastAsia="宋体" w:hAnsi="Arial" w:cs="Arial" w:hint="eastAsia"/>
                <w:color w:val="000000"/>
                <w:highlight w:val="none"/>
                <w:lang w:val="en-US" w:eastAsia="zh-CN" w:bidi="ar"/>
              </w:rPr>
              <w:t>其他副高级</w:t>
            </w:r>
          </w:p>
        </w:tc>
        <w:tc>
          <w:tcPr>
            <w:tcW w:w="1188" w:type="dxa"/>
            <w:vAlign w:val="center"/>
          </w:tcPr>
          <w:p>
            <w:pPr>
              <w:widowControl/>
              <w:jc w:val="center"/>
              <w:textAlignment w:val="center"/>
              <w:rPr>
                <w:rFonts w:ascii="Arial" w:eastAsia="宋体" w:hAnsi="Arial" w:cs="Arial" w:hint="eastAsia"/>
                <w:color w:val="000000"/>
                <w:lang w:val="en-US" w:eastAsia="zh-CN" w:bidi="ar"/>
              </w:rPr>
            </w:pPr>
            <w:r>
              <w:rPr>
                <w:rFonts w:ascii="Arial" w:hAnsi="Arial" w:cs="Arial" w:hint="eastAsia"/>
                <w:color w:val="000000"/>
                <w:lang w:val="en-US" w:eastAsia="zh-CN" w:bidi="ar"/>
              </w:rPr>
              <w:t>河北师范大学</w:t>
            </w:r>
          </w:p>
        </w:tc>
        <w:tc>
          <w:tcPr>
            <w:tcW w:w="1107" w:type="dxa"/>
            <w:vAlign w:val="center"/>
          </w:tcPr>
          <w:p>
            <w:pPr>
              <w:jc w:val="center"/>
              <w:rPr>
                <w:rFonts w:ascii="Arial" w:eastAsia="宋体" w:hAnsi="Arial" w:cs="Arial" w:hint="eastAsia"/>
                <w:color w:val="000000"/>
                <w:lang w:val="en-US" w:eastAsia="zh-CN" w:bidi="ar"/>
              </w:rPr>
            </w:pPr>
            <w:r>
              <w:rPr>
                <w:rFonts w:ascii="Arial" w:hAnsi="Arial" w:cs="Arial" w:hint="eastAsia"/>
                <w:color w:val="000000"/>
                <w:lang w:val="en-US" w:eastAsia="zh-CN" w:bidi="ar"/>
              </w:rPr>
              <w:t>广播电视编导</w:t>
            </w:r>
          </w:p>
        </w:tc>
        <w:tc>
          <w:tcPr>
            <w:tcW w:w="1131" w:type="dxa"/>
            <w:vAlign w:val="center"/>
          </w:tcPr>
          <w:p>
            <w:pPr>
              <w:widowControl/>
              <w:jc w:val="center"/>
              <w:textAlignment w:val="center"/>
              <w:rPr>
                <w:rFonts w:ascii="Arial" w:eastAsia="宋体" w:hAnsi="Arial" w:cs="Arial" w:hint="default"/>
                <w:color w:val="000000"/>
                <w:lang w:val="en-US" w:eastAsia="zh-CN" w:bidi="ar"/>
              </w:rPr>
            </w:pPr>
            <w:r>
              <w:rPr>
                <w:rFonts w:cs="宋体" w:hint="eastAsia"/>
                <w:spacing w:val="-1"/>
                <w:lang w:val="en-US" w:eastAsia="zh-CN"/>
              </w:rPr>
              <w:t>学士</w:t>
            </w:r>
            <w:r>
              <w:rPr>
                <w:rFonts w:ascii="Arial" w:hAnsi="Arial" w:cs="Arial" w:hint="eastAsia"/>
                <w:color w:val="000000"/>
                <w:lang w:val="en-US" w:eastAsia="zh-CN" w:bidi="ar"/>
              </w:rPr>
              <w:t xml:space="preserve"> </w:t>
            </w:r>
          </w:p>
        </w:tc>
        <w:tc>
          <w:tcPr>
            <w:tcW w:w="969" w:type="dxa"/>
            <w:vAlign w:val="center"/>
          </w:tcPr>
          <w:p>
            <w:pPr>
              <w:jc w:val="center"/>
              <w:rPr>
                <w:rFonts w:eastAsia="宋体" w:hint="eastAsia"/>
                <w:color w:val="000000"/>
                <w:lang w:eastAsia="zh-CN"/>
              </w:rPr>
            </w:pPr>
            <w:r>
              <w:rPr>
                <w:rFonts w:hint="eastAsia"/>
                <w:color w:val="000000"/>
                <w:lang w:eastAsia="zh-CN"/>
              </w:rPr>
              <w:t>口语传播</w:t>
            </w:r>
          </w:p>
        </w:tc>
        <w:tc>
          <w:tcPr>
            <w:tcW w:w="863" w:type="dxa"/>
            <w:vAlign w:val="center"/>
          </w:tcPr>
          <w:p>
            <w:pPr>
              <w:widowControl/>
              <w:jc w:val="center"/>
              <w:textAlignment w:val="center"/>
              <w:rPr>
                <w:rFonts w:ascii="Arial" w:hAnsi="Arial" w:cs="Arial" w:hint="eastAsia"/>
                <w:color w:val="000000"/>
                <w:lang w:val="en-US" w:eastAsia="zh-CN" w:bidi="ar"/>
              </w:rPr>
            </w:pPr>
            <w:r>
              <w:rPr>
                <w:rFonts w:ascii="Arial" w:hAnsi="Arial" w:cs="Arial" w:hint="eastAsia"/>
                <w:color w:val="000000"/>
                <w:lang w:val="en-US" w:eastAsia="zh-CN" w:bidi="ar"/>
              </w:rPr>
              <w:t>兼职</w:t>
            </w:r>
          </w:p>
        </w:tc>
      </w:tr>
    </w:tbl>
    <w:p>
      <w:pPr>
        <w:pStyle w:val="ListParagraph"/>
        <w:numPr>
          <w:ilvl w:val="0"/>
          <w:numId w:val="0"/>
        </w:numPr>
        <w:tabs>
          <w:tab w:val="left" w:pos="714"/>
        </w:tabs>
        <w:spacing w:before="0" w:line="484" w:lineRule="exact"/>
        <w:ind w:left="217" w:leftChars="0"/>
        <w:rPr>
          <w:sz w:val="24"/>
        </w:rPr>
      </w:pPr>
      <w:r>
        <w:rPr>
          <w:rFonts w:ascii="Microsoft JhengHei" w:hint="eastAsia"/>
          <w:b/>
          <w:sz w:val="28"/>
          <w:lang w:val="en-US" w:eastAsia="zh-CN"/>
        </w:rPr>
        <w:t>5.3</w:t>
      </w:r>
      <w:r>
        <w:rPr>
          <w:rFonts w:ascii="Microsoft JhengHei" w:eastAsia="Microsoft JhengHei" w:hint="eastAsia"/>
          <w:b/>
          <w:sz w:val="28"/>
        </w:rPr>
        <w:t>教师及开课情况汇总表</w:t>
      </w:r>
    </w:p>
    <w:p>
      <w:pPr>
        <w:spacing w:before="4"/>
        <w:rPr>
          <w:sz w:val="5"/>
        </w:rPr>
      </w:pPr>
    </w:p>
    <w:tbl>
      <w:tblPr>
        <w:tblStyle w:val="TableNormal"/>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6347"/>
        <w:gridCol w:w="1075"/>
        <w:gridCol w:w="1075"/>
        <w:gridCol w:w="1077"/>
      </w:tblGrid>
      <w:tr>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397"/>
        </w:trPr>
        <w:tc>
          <w:tcPr>
            <w:tcW w:w="6347" w:type="dxa"/>
          </w:tcPr>
          <w:p>
            <w:pPr>
              <w:pStyle w:val="TableParagraph"/>
              <w:spacing w:before="79" w:line="299" w:lineRule="exact"/>
              <w:ind w:left="392" w:right="383"/>
              <w:jc w:val="center"/>
              <w:rPr>
                <w:sz w:val="24"/>
              </w:rPr>
            </w:pPr>
            <w:r>
              <w:rPr>
                <w:sz w:val="24"/>
              </w:rPr>
              <w:t>专任教师总数</w:t>
            </w:r>
          </w:p>
        </w:tc>
        <w:tc>
          <w:tcPr>
            <w:tcW w:w="3227" w:type="dxa"/>
            <w:gridSpan w:val="3"/>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16</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81" w:line="299" w:lineRule="exact"/>
              <w:ind w:left="392" w:right="384"/>
              <w:jc w:val="center"/>
              <w:rPr>
                <w:sz w:val="24"/>
              </w:rPr>
            </w:pPr>
            <w:r>
              <w:rPr>
                <w:sz w:val="24"/>
              </w:rPr>
              <w:t>具有教授（含其他正高级）职称教师数</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3</w:t>
            </w:r>
          </w:p>
        </w:tc>
        <w:tc>
          <w:tcPr>
            <w:tcW w:w="1075" w:type="dxa"/>
            <w:vAlign w:val="center"/>
          </w:tcPr>
          <w:p>
            <w:pPr>
              <w:pStyle w:val="TableParagraph"/>
              <w:jc w:val="center"/>
              <w:rPr>
                <w:rFonts w:ascii="Times New Roman" w:hint="eastAsia"/>
                <w:sz w:val="24"/>
                <w:lang w:val="en-US" w:eastAsia="zh-CN"/>
              </w:rPr>
            </w:pPr>
            <w:r>
              <w:rPr>
                <w:rFonts w:ascii="Times New Roman" w:hint="eastAsia"/>
                <w:sz w:val="24"/>
                <w:lang w:val="en-US" w:eastAsia="zh-CN"/>
              </w:rPr>
              <w:t>比例</w:t>
            </w:r>
          </w:p>
        </w:tc>
        <w:tc>
          <w:tcPr>
            <w:tcW w:w="1077" w:type="dxa"/>
            <w:vAlign w:val="center"/>
          </w:tcPr>
          <w:p>
            <w:pPr>
              <w:pStyle w:val="TableParagraph"/>
              <w:jc w:val="center"/>
              <w:rPr>
                <w:rFonts w:ascii="Times New Roman" w:hint="default"/>
                <w:sz w:val="24"/>
                <w:lang w:val="en-US" w:eastAsia="zh-CN"/>
              </w:rPr>
            </w:pPr>
            <w:r>
              <w:rPr>
                <w:rFonts w:ascii="Times New Roman" w:hint="eastAsia"/>
                <w:sz w:val="24"/>
                <w:lang w:val="en-US" w:eastAsia="zh-CN"/>
              </w:rPr>
              <w:t>15%</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92" w:right="384"/>
              <w:jc w:val="center"/>
              <w:rPr>
                <w:sz w:val="24"/>
              </w:rPr>
            </w:pPr>
            <w:r>
              <w:rPr>
                <w:sz w:val="24"/>
              </w:rPr>
              <w:t>具有副教授以上（含其他副高级）职称教师数及比例</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6</w:t>
            </w:r>
          </w:p>
        </w:tc>
        <w:tc>
          <w:tcPr>
            <w:tcW w:w="1075" w:type="dxa"/>
            <w:vAlign w:val="center"/>
          </w:tcPr>
          <w:p>
            <w:pPr>
              <w:pStyle w:val="TableParagraph"/>
              <w:jc w:val="center"/>
              <w:rPr>
                <w:rFonts w:ascii="Times New Roman" w:hint="eastAsia"/>
                <w:sz w:val="24"/>
                <w:lang w:val="en-US" w:eastAsia="zh-CN"/>
              </w:rPr>
            </w:pPr>
            <w:r>
              <w:rPr>
                <w:rFonts w:ascii="Times New Roman" w:hint="eastAsia"/>
                <w:sz w:val="24"/>
                <w:lang w:val="en-US" w:eastAsia="zh-CN"/>
              </w:rPr>
              <w:t>比例</w:t>
            </w:r>
          </w:p>
        </w:tc>
        <w:tc>
          <w:tcPr>
            <w:tcW w:w="1077" w:type="dxa"/>
            <w:vAlign w:val="center"/>
          </w:tcPr>
          <w:p>
            <w:pPr>
              <w:pStyle w:val="TableParagraph"/>
              <w:jc w:val="center"/>
              <w:rPr>
                <w:rFonts w:ascii="Times New Roman" w:hint="default"/>
                <w:sz w:val="24"/>
                <w:lang w:val="en-US" w:eastAsia="zh-CN"/>
              </w:rPr>
            </w:pPr>
            <w:r>
              <w:rPr>
                <w:rFonts w:ascii="Times New Roman" w:hint="eastAsia"/>
                <w:sz w:val="24"/>
                <w:lang w:val="en-US" w:eastAsia="zh-CN"/>
              </w:rPr>
              <w:t>30%</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92" w:right="383"/>
              <w:jc w:val="center"/>
              <w:rPr>
                <w:sz w:val="24"/>
              </w:rPr>
            </w:pPr>
            <w:r>
              <w:rPr>
                <w:sz w:val="24"/>
              </w:rPr>
              <w:t>具有硕士以上（含）学位教师数及比例</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14</w:t>
            </w:r>
          </w:p>
        </w:tc>
        <w:tc>
          <w:tcPr>
            <w:tcW w:w="1075" w:type="dxa"/>
            <w:vAlign w:val="center"/>
          </w:tcPr>
          <w:p>
            <w:pPr>
              <w:pStyle w:val="TableParagraph"/>
              <w:jc w:val="center"/>
              <w:rPr>
                <w:rFonts w:ascii="Times New Roman"/>
                <w:sz w:val="24"/>
                <w:lang w:val="en-US"/>
              </w:rPr>
            </w:pPr>
            <w:r>
              <w:rPr>
                <w:rFonts w:ascii="Times New Roman" w:hint="eastAsia"/>
                <w:sz w:val="24"/>
                <w:lang w:val="en-US" w:eastAsia="zh-CN"/>
              </w:rPr>
              <w:t>比例</w:t>
            </w:r>
          </w:p>
        </w:tc>
        <w:tc>
          <w:tcPr>
            <w:tcW w:w="1077"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70%</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92" w:right="384"/>
              <w:jc w:val="center"/>
              <w:rPr>
                <w:sz w:val="24"/>
              </w:rPr>
            </w:pPr>
            <w:r>
              <w:rPr>
                <w:sz w:val="24"/>
              </w:rPr>
              <w:t>具有博士学位教师数及比例</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w:t>
            </w:r>
          </w:p>
        </w:tc>
        <w:tc>
          <w:tcPr>
            <w:tcW w:w="1075" w:type="dxa"/>
            <w:vAlign w:val="center"/>
          </w:tcPr>
          <w:p>
            <w:pPr>
              <w:pStyle w:val="TableParagraph"/>
              <w:jc w:val="center"/>
              <w:rPr>
                <w:rFonts w:ascii="Times New Roman"/>
                <w:sz w:val="24"/>
                <w:lang w:val="en-US"/>
              </w:rPr>
            </w:pPr>
            <w:r>
              <w:rPr>
                <w:rFonts w:ascii="Times New Roman" w:hint="eastAsia"/>
                <w:sz w:val="24"/>
                <w:lang w:val="en-US" w:eastAsia="zh-CN"/>
              </w:rPr>
              <w:t>比例</w:t>
            </w:r>
          </w:p>
        </w:tc>
        <w:tc>
          <w:tcPr>
            <w:tcW w:w="1077"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5%</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16</w:t>
            </w:r>
          </w:p>
        </w:tc>
        <w:tc>
          <w:tcPr>
            <w:tcW w:w="1075" w:type="dxa"/>
            <w:vAlign w:val="center"/>
          </w:tcPr>
          <w:p>
            <w:pPr>
              <w:pStyle w:val="TableParagraph"/>
              <w:jc w:val="center"/>
              <w:rPr>
                <w:rFonts w:ascii="Times New Roman"/>
                <w:sz w:val="24"/>
                <w:lang w:val="en-US"/>
              </w:rPr>
            </w:pPr>
            <w:r>
              <w:rPr>
                <w:rFonts w:ascii="Times New Roman" w:hint="eastAsia"/>
                <w:sz w:val="24"/>
                <w:lang w:val="en-US" w:eastAsia="zh-CN"/>
              </w:rPr>
              <w:t>比例</w:t>
            </w:r>
          </w:p>
        </w:tc>
        <w:tc>
          <w:tcPr>
            <w:tcW w:w="1077"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80%</w:t>
            </w:r>
          </w:p>
        </w:tc>
      </w:tr>
      <w:tr>
        <w:tblPrEx>
          <w:tblW w:w="0" w:type="auto"/>
          <w:tblInd w:w="116" w:type="dxa"/>
          <w:tblLayout w:type="fixed"/>
          <w:tblCellMar>
            <w:top w:w="0" w:type="dxa"/>
            <w:left w:w="0" w:type="dxa"/>
            <w:bottom w:w="0" w:type="dxa"/>
            <w:right w:w="0" w:type="dxa"/>
          </w:tblCellMar>
          <w:tblLook w:val="0000"/>
        </w:tblPrEx>
        <w:trPr>
          <w:trHeight w:val="398"/>
        </w:trPr>
        <w:tc>
          <w:tcPr>
            <w:tcW w:w="6347" w:type="dxa"/>
          </w:tcPr>
          <w:p>
            <w:pPr>
              <w:pStyle w:val="TableParagraph"/>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1075"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3</w:t>
            </w:r>
          </w:p>
        </w:tc>
        <w:tc>
          <w:tcPr>
            <w:tcW w:w="1075" w:type="dxa"/>
            <w:vAlign w:val="center"/>
          </w:tcPr>
          <w:p>
            <w:pPr>
              <w:pStyle w:val="TableParagraph"/>
              <w:jc w:val="center"/>
              <w:rPr>
                <w:rFonts w:ascii="Times New Roman"/>
                <w:sz w:val="24"/>
                <w:lang w:val="en-US"/>
              </w:rPr>
            </w:pPr>
            <w:r>
              <w:rPr>
                <w:rFonts w:ascii="Times New Roman" w:hint="eastAsia"/>
                <w:sz w:val="24"/>
                <w:lang w:val="en-US" w:eastAsia="zh-CN"/>
              </w:rPr>
              <w:t>比例</w:t>
            </w:r>
          </w:p>
        </w:tc>
        <w:tc>
          <w:tcPr>
            <w:tcW w:w="1077" w:type="dxa"/>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15%</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gridSpan w:val="3"/>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4:16</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92" w:right="384"/>
              <w:jc w:val="center"/>
              <w:rPr>
                <w:sz w:val="24"/>
              </w:rPr>
            </w:pPr>
            <w:r>
              <w:rPr>
                <w:sz w:val="24"/>
              </w:rPr>
              <w:t>专业核心课程门数</w:t>
            </w:r>
          </w:p>
        </w:tc>
        <w:tc>
          <w:tcPr>
            <w:tcW w:w="3227" w:type="dxa"/>
            <w:gridSpan w:val="3"/>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5</w:t>
            </w:r>
          </w:p>
        </w:tc>
      </w:tr>
      <w:tr>
        <w:tblPrEx>
          <w:tblW w:w="0" w:type="auto"/>
          <w:tblInd w:w="116" w:type="dxa"/>
          <w:tblLayout w:type="fixed"/>
          <w:tblCellMar>
            <w:top w:w="0" w:type="dxa"/>
            <w:left w:w="0" w:type="dxa"/>
            <w:bottom w:w="0" w:type="dxa"/>
            <w:right w:w="0" w:type="dxa"/>
          </w:tblCellMar>
          <w:tblLook w:val="0000"/>
        </w:tblPrEx>
        <w:trPr>
          <w:trHeight w:val="400"/>
        </w:trPr>
        <w:tc>
          <w:tcPr>
            <w:tcW w:w="6347" w:type="dxa"/>
          </w:tcPr>
          <w:p>
            <w:pPr>
              <w:pStyle w:val="TableParagraph"/>
              <w:spacing w:before="79" w:line="301" w:lineRule="exact"/>
              <w:ind w:left="392" w:right="384"/>
              <w:jc w:val="center"/>
              <w:rPr>
                <w:sz w:val="24"/>
              </w:rPr>
            </w:pPr>
            <w:r>
              <w:rPr>
                <w:sz w:val="24"/>
              </w:rPr>
              <w:t>专业核心课程任课教师数</w:t>
            </w:r>
          </w:p>
        </w:tc>
        <w:tc>
          <w:tcPr>
            <w:tcW w:w="3227" w:type="dxa"/>
            <w:gridSpan w:val="3"/>
            <w:vAlign w:val="center"/>
          </w:tcPr>
          <w:p>
            <w:pPr>
              <w:pStyle w:val="TableParagraph"/>
              <w:jc w:val="center"/>
              <w:rPr>
                <w:rFonts w:ascii="Times New Roman" w:eastAsia="宋体" w:hint="default"/>
                <w:sz w:val="24"/>
                <w:lang w:val="en-US" w:eastAsia="zh-CN"/>
              </w:rPr>
            </w:pPr>
            <w:r>
              <w:rPr>
                <w:rFonts w:ascii="Times New Roman" w:hint="eastAsia"/>
                <w:sz w:val="24"/>
                <w:lang w:val="en-US" w:eastAsia="zh-CN"/>
              </w:rPr>
              <w:t>7</w:t>
            </w:r>
          </w:p>
        </w:tc>
      </w:tr>
    </w:tbl>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BodyText"/>
        <w:numPr>
          <w:ilvl w:val="0"/>
          <w:numId w:val="0"/>
        </w:numPr>
        <w:spacing w:before="8"/>
        <w:jc w:val="both"/>
        <w:rPr>
          <w:rFonts w:ascii="黑体" w:eastAsia="黑体" w:hint="eastAsia"/>
          <w:sz w:val="36"/>
          <w:lang w:eastAsia="zh-CN"/>
        </w:rPr>
      </w:pPr>
    </w:p>
    <w:p>
      <w:pPr>
        <w:pStyle w:val="ListParagraph"/>
        <w:widowControl w:val="0"/>
        <w:numPr>
          <w:ilvl w:val="0"/>
          <w:numId w:val="0"/>
        </w:numPr>
        <w:tabs>
          <w:tab w:val="left" w:pos="714"/>
        </w:tabs>
        <w:autoSpaceDE w:val="0"/>
        <w:autoSpaceDN w:val="0"/>
        <w:spacing w:before="0" w:line="240" w:lineRule="auto"/>
        <w:ind w:leftChars="0"/>
        <w:jc w:val="center"/>
        <w:rPr>
          <w:rFonts w:ascii="黑体" w:eastAsia="黑体" w:hint="eastAsia"/>
          <w:sz w:val="36"/>
          <w:lang w:eastAsia="zh-CN"/>
        </w:rPr>
      </w:pPr>
      <w:r>
        <w:rPr>
          <w:rFonts w:ascii="黑体" w:eastAsia="黑体" w:hint="eastAsia"/>
          <w:sz w:val="36"/>
          <w:lang w:val="en-US" w:eastAsia="zh-CN"/>
        </w:rPr>
        <w:t>6.</w:t>
      </w:r>
      <w:r>
        <w:rPr>
          <w:rFonts w:ascii="黑体" w:eastAsia="黑体" w:hint="eastAsia"/>
          <w:sz w:val="36"/>
          <w:lang w:eastAsia="zh-CN"/>
        </w:rPr>
        <w:t>专业主要带头人简介</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
      <w:tblGrid>
        <w:gridCol w:w="960"/>
        <w:gridCol w:w="1438"/>
        <w:gridCol w:w="257"/>
        <w:gridCol w:w="989"/>
        <w:gridCol w:w="879"/>
        <w:gridCol w:w="675"/>
        <w:gridCol w:w="1045"/>
        <w:gridCol w:w="1112"/>
        <w:gridCol w:w="333"/>
        <w:gridCol w:w="896"/>
        <w:gridCol w:w="992"/>
      </w:tblGrid>
      <w:tr>
        <w:tblPrEx>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Ex>
        <w:trPr>
          <w:trHeight w:val="340"/>
        </w:trPr>
        <w:tc>
          <w:tcPr>
            <w:tcW w:w="960" w:type="dxa"/>
            <w:vAlign w:val="center"/>
          </w:tcPr>
          <w:p>
            <w:pPr>
              <w:pStyle w:val="TableParagraph"/>
              <w:spacing w:before="14" w:line="306" w:lineRule="exact"/>
              <w:ind w:left="239" w:leftChars="0"/>
              <w:jc w:val="left"/>
              <w:rPr>
                <w:sz w:val="24"/>
              </w:rPr>
            </w:pPr>
            <w:r>
              <w:rPr>
                <w:sz w:val="24"/>
              </w:rPr>
              <w:t>姓名</w:t>
            </w:r>
          </w:p>
        </w:tc>
        <w:tc>
          <w:tcPr>
            <w:tcW w:w="1438" w:type="dxa"/>
            <w:vAlign w:val="center"/>
          </w:tcPr>
          <w:p>
            <w:pPr>
              <w:pStyle w:val="TableParagraph"/>
              <w:jc w:val="left"/>
              <w:rPr>
                <w:rFonts w:ascii="Times New Roman"/>
                <w:sz w:val="24"/>
              </w:rPr>
            </w:pPr>
            <w:r>
              <w:rPr>
                <w:rFonts w:ascii="Times New Roman" w:hint="eastAsia"/>
                <w:sz w:val="24"/>
                <w:lang w:val="en-US"/>
              </w:rPr>
              <w:t>李勇强</w:t>
            </w:r>
          </w:p>
        </w:tc>
        <w:tc>
          <w:tcPr>
            <w:tcW w:w="1246" w:type="dxa"/>
            <w:gridSpan w:val="2"/>
            <w:vAlign w:val="center"/>
          </w:tcPr>
          <w:p>
            <w:pPr>
              <w:pStyle w:val="TableParagraph"/>
              <w:spacing w:before="14" w:line="306" w:lineRule="exact"/>
              <w:ind w:left="381" w:leftChars="0"/>
              <w:jc w:val="left"/>
              <w:rPr>
                <w:sz w:val="24"/>
              </w:rPr>
            </w:pPr>
            <w:r>
              <w:rPr>
                <w:sz w:val="24"/>
              </w:rPr>
              <w:t>性别</w:t>
            </w:r>
          </w:p>
        </w:tc>
        <w:tc>
          <w:tcPr>
            <w:tcW w:w="879" w:type="dxa"/>
            <w:vAlign w:val="center"/>
          </w:tcPr>
          <w:p>
            <w:pPr>
              <w:pStyle w:val="TableParagraph"/>
              <w:jc w:val="left"/>
              <w:rPr>
                <w:rFonts w:ascii="Times New Roman"/>
                <w:sz w:val="24"/>
              </w:rPr>
            </w:pPr>
            <w:r>
              <w:rPr>
                <w:rFonts w:ascii="Times New Roman" w:hint="eastAsia"/>
                <w:sz w:val="24"/>
              </w:rPr>
              <w:t>男</w:t>
            </w:r>
          </w:p>
        </w:tc>
        <w:tc>
          <w:tcPr>
            <w:tcW w:w="1720" w:type="dxa"/>
            <w:gridSpan w:val="2"/>
            <w:vAlign w:val="center"/>
          </w:tcPr>
          <w:p>
            <w:pPr>
              <w:pStyle w:val="TableParagraph"/>
              <w:spacing w:before="14" w:line="306" w:lineRule="exact"/>
              <w:ind w:left="138" w:leftChars="0"/>
              <w:jc w:val="left"/>
              <w:rPr>
                <w:sz w:val="24"/>
              </w:rPr>
            </w:pPr>
            <w:r>
              <w:rPr>
                <w:sz w:val="24"/>
              </w:rPr>
              <w:t>专业技术职务</w:t>
            </w:r>
          </w:p>
        </w:tc>
        <w:tc>
          <w:tcPr>
            <w:tcW w:w="1112" w:type="dxa"/>
            <w:vAlign w:val="center"/>
          </w:tcPr>
          <w:p>
            <w:pPr>
              <w:pStyle w:val="TableParagraph"/>
              <w:jc w:val="left"/>
              <w:rPr>
                <w:rFonts w:ascii="Times New Roman"/>
                <w:sz w:val="24"/>
              </w:rPr>
            </w:pPr>
            <w:r>
              <w:rPr>
                <w:rFonts w:ascii="Times New Roman" w:hint="eastAsia"/>
                <w:sz w:val="24"/>
              </w:rPr>
              <w:t>教授</w:t>
            </w:r>
          </w:p>
        </w:tc>
        <w:tc>
          <w:tcPr>
            <w:tcW w:w="1229" w:type="dxa"/>
            <w:gridSpan w:val="2"/>
            <w:vAlign w:val="center"/>
          </w:tcPr>
          <w:p>
            <w:pPr>
              <w:pStyle w:val="TableParagraph"/>
              <w:spacing w:before="14" w:line="306" w:lineRule="exact"/>
              <w:ind w:left="131" w:leftChars="0"/>
              <w:jc w:val="left"/>
              <w:rPr>
                <w:sz w:val="24"/>
              </w:rPr>
            </w:pPr>
            <w:r>
              <w:rPr>
                <w:sz w:val="24"/>
              </w:rPr>
              <w:t>行政职务</w:t>
            </w:r>
          </w:p>
        </w:tc>
        <w:tc>
          <w:tcPr>
            <w:tcW w:w="992" w:type="dxa"/>
            <w:vAlign w:val="center"/>
          </w:tcPr>
          <w:p>
            <w:pPr>
              <w:pStyle w:val="TableParagraph"/>
              <w:jc w:val="left"/>
              <w:rPr>
                <w:rFonts w:ascii="Times New Roman"/>
                <w:sz w:val="24"/>
              </w:rPr>
            </w:pPr>
          </w:p>
        </w:tc>
      </w:tr>
      <w:tr>
        <w:tblPrEx>
          <w:tblW w:w="0" w:type="auto"/>
          <w:tblInd w:w="116" w:type="dxa"/>
          <w:tblLayout w:type="fixed"/>
          <w:tblCellMar>
            <w:top w:w="0" w:type="dxa"/>
            <w:left w:w="0" w:type="dxa"/>
            <w:bottom w:w="0" w:type="dxa"/>
            <w:right w:w="0" w:type="dxa"/>
          </w:tblCellMar>
          <w:tblLook w:val="0000"/>
        </w:tblPrEx>
        <w:trPr>
          <w:trHeight w:val="623"/>
        </w:trPr>
        <w:tc>
          <w:tcPr>
            <w:tcW w:w="960" w:type="dxa"/>
            <w:vAlign w:val="center"/>
          </w:tcPr>
          <w:p>
            <w:pPr>
              <w:pStyle w:val="TableParagraph"/>
              <w:spacing w:line="307" w:lineRule="exact"/>
              <w:ind w:left="99" w:right="90"/>
              <w:jc w:val="left"/>
              <w:rPr>
                <w:color w:val="auto"/>
                <w:sz w:val="24"/>
              </w:rPr>
            </w:pPr>
            <w:r>
              <w:rPr>
                <w:color w:val="auto"/>
                <w:sz w:val="24"/>
              </w:rPr>
              <w:t>拟承担</w:t>
            </w:r>
          </w:p>
          <w:p>
            <w:pPr>
              <w:pStyle w:val="TableParagraph"/>
              <w:spacing w:before="4" w:line="292" w:lineRule="exact"/>
              <w:ind w:left="99" w:right="90" w:leftChars="0" w:rightChars="0"/>
              <w:jc w:val="left"/>
              <w:rPr>
                <w:color w:val="auto"/>
                <w:sz w:val="24"/>
              </w:rPr>
            </w:pPr>
            <w:r>
              <w:rPr>
                <w:color w:val="auto"/>
                <w:sz w:val="24"/>
              </w:rPr>
              <w:t>课程</w:t>
            </w:r>
          </w:p>
        </w:tc>
        <w:tc>
          <w:tcPr>
            <w:tcW w:w="3563" w:type="dxa"/>
            <w:gridSpan w:val="4"/>
            <w:vAlign w:val="center"/>
          </w:tcPr>
          <w:p>
            <w:pPr>
              <w:pStyle w:val="TableParagraph"/>
              <w:spacing w:line="240" w:lineRule="auto"/>
              <w:jc w:val="both"/>
              <w:rPr>
                <w:rFonts w:ascii="Times New Roman" w:hint="eastAsia"/>
                <w:color w:val="auto"/>
                <w:sz w:val="24"/>
                <w:lang w:eastAsia="zh-CN"/>
              </w:rPr>
            </w:pPr>
            <w:r>
              <w:rPr>
                <w:rFonts w:ascii="Times New Roman" w:hint="eastAsia"/>
                <w:color w:val="auto"/>
                <w:sz w:val="24"/>
                <w:lang w:eastAsia="zh-CN"/>
              </w:rPr>
              <w:t>戏剧影视文学（编剧）</w:t>
            </w:r>
          </w:p>
        </w:tc>
        <w:tc>
          <w:tcPr>
            <w:tcW w:w="1720" w:type="dxa"/>
            <w:gridSpan w:val="2"/>
            <w:vAlign w:val="center"/>
          </w:tcPr>
          <w:p>
            <w:pPr>
              <w:pStyle w:val="TableParagraph"/>
              <w:spacing w:before="155"/>
              <w:ind w:left="138" w:leftChars="0"/>
              <w:jc w:val="left"/>
              <w:rPr>
                <w:sz w:val="24"/>
              </w:rPr>
            </w:pPr>
            <w:r>
              <w:rPr>
                <w:sz w:val="24"/>
              </w:rPr>
              <w:t>现在所在单位</w:t>
            </w:r>
          </w:p>
        </w:tc>
        <w:tc>
          <w:tcPr>
            <w:tcW w:w="3333" w:type="dxa"/>
            <w:gridSpan w:val="4"/>
            <w:vAlign w:val="center"/>
          </w:tcPr>
          <w:p>
            <w:pPr>
              <w:pStyle w:val="TableParagraph"/>
              <w:jc w:val="left"/>
              <w:rPr>
                <w:rFonts w:ascii="Times New Roman"/>
                <w:sz w:val="24"/>
              </w:rPr>
            </w:pPr>
            <w:r>
              <w:rPr>
                <w:rFonts w:ascii="Times New Roman" w:hint="eastAsia"/>
                <w:sz w:val="24"/>
              </w:rPr>
              <w:t>浙江师范大学</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vAlign w:val="center"/>
          </w:tcPr>
          <w:p>
            <w:pPr>
              <w:pStyle w:val="TableParagraph"/>
              <w:jc w:val="left"/>
              <w:rPr>
                <w:rFonts w:ascii="Times New Roman"/>
                <w:sz w:val="24"/>
              </w:rPr>
            </w:pPr>
            <w:r>
              <w:rPr>
                <w:rFonts w:ascii="Times New Roman"/>
                <w:sz w:val="24"/>
              </w:rPr>
              <w:t>最后学历毕业时间、</w:t>
            </w:r>
          </w:p>
          <w:p>
            <w:pPr>
              <w:pStyle w:val="TableParagraph"/>
              <w:jc w:val="left"/>
              <w:rPr>
                <w:rFonts w:ascii="Times New Roman"/>
                <w:sz w:val="24"/>
              </w:rPr>
            </w:pPr>
            <w:r>
              <w:rPr>
                <w:rFonts w:ascii="Times New Roman"/>
                <w:sz w:val="24"/>
              </w:rPr>
              <w:t>学校、专业</w:t>
            </w:r>
          </w:p>
        </w:tc>
        <w:tc>
          <w:tcPr>
            <w:tcW w:w="6921" w:type="dxa"/>
            <w:gridSpan w:val="8"/>
            <w:vAlign w:val="center"/>
          </w:tcPr>
          <w:p>
            <w:pPr>
              <w:pStyle w:val="TableParagraph"/>
              <w:jc w:val="left"/>
              <w:rPr>
                <w:rFonts w:ascii="Times New Roman"/>
                <w:sz w:val="24"/>
              </w:rPr>
            </w:pPr>
            <w:r>
              <w:rPr>
                <w:rFonts w:ascii="Times New Roman" w:hint="eastAsia"/>
                <w:sz w:val="24"/>
                <w:lang w:val="en-US"/>
              </w:rPr>
              <w:t>2008年06博士毕业于中央戏剧学院戏剧戏曲学专业。</w:t>
            </w:r>
          </w:p>
        </w:tc>
      </w:tr>
      <w:tr>
        <w:tblPrEx>
          <w:tblW w:w="0" w:type="auto"/>
          <w:tblInd w:w="116" w:type="dxa"/>
          <w:tblLayout w:type="fixed"/>
          <w:tblCellMar>
            <w:top w:w="0" w:type="dxa"/>
            <w:left w:w="0" w:type="dxa"/>
            <w:bottom w:w="0" w:type="dxa"/>
            <w:right w:w="0" w:type="dxa"/>
          </w:tblCellMar>
          <w:tblLook w:val="0000"/>
        </w:tblPrEx>
        <w:trPr>
          <w:trHeight w:val="626"/>
        </w:trPr>
        <w:tc>
          <w:tcPr>
            <w:tcW w:w="2655" w:type="dxa"/>
            <w:gridSpan w:val="3"/>
            <w:vAlign w:val="center"/>
          </w:tcPr>
          <w:p>
            <w:pPr>
              <w:pStyle w:val="TableParagraph"/>
              <w:spacing w:before="158"/>
              <w:ind w:left="606" w:leftChars="0"/>
              <w:jc w:val="left"/>
              <w:rPr>
                <w:sz w:val="24"/>
              </w:rPr>
            </w:pPr>
            <w:r>
              <w:rPr>
                <w:sz w:val="24"/>
              </w:rPr>
              <w:t>主要研究方向</w:t>
            </w:r>
          </w:p>
        </w:tc>
        <w:tc>
          <w:tcPr>
            <w:tcW w:w="6921" w:type="dxa"/>
            <w:gridSpan w:val="8"/>
            <w:vAlign w:val="center"/>
          </w:tcPr>
          <w:p>
            <w:pPr>
              <w:pStyle w:val="TableParagraph"/>
              <w:jc w:val="left"/>
              <w:rPr>
                <w:rFonts w:ascii="Times New Roman"/>
                <w:sz w:val="24"/>
              </w:rPr>
            </w:pPr>
            <w:r>
              <w:rPr>
                <w:rFonts w:ascii="Times New Roman" w:hint="eastAsia"/>
                <w:sz w:val="24"/>
                <w:lang w:val="en-US"/>
              </w:rPr>
              <w:t>戏剧与影视学、戏剧表导演、编剧理论与实践</w:t>
            </w:r>
          </w:p>
        </w:tc>
      </w:tr>
      <w:tr>
        <w:tblPrEx>
          <w:tblW w:w="0" w:type="auto"/>
          <w:tblInd w:w="116" w:type="dxa"/>
          <w:tblLayout w:type="fixed"/>
          <w:tblCellMar>
            <w:top w:w="0" w:type="dxa"/>
            <w:left w:w="0" w:type="dxa"/>
            <w:bottom w:w="0" w:type="dxa"/>
            <w:right w:w="0" w:type="dxa"/>
          </w:tblCellMar>
          <w:tblLook w:val="0000"/>
        </w:tblPrEx>
        <w:trPr>
          <w:trHeight w:val="1248"/>
        </w:trPr>
        <w:tc>
          <w:tcPr>
            <w:tcW w:w="2655" w:type="dxa"/>
            <w:gridSpan w:val="3"/>
            <w:vAlign w:val="center"/>
          </w:tcPr>
          <w:p>
            <w:pPr>
              <w:pStyle w:val="TableParagraph"/>
              <w:spacing w:line="244" w:lineRule="auto"/>
              <w:ind w:left="126" w:right="117"/>
              <w:jc w:val="left"/>
              <w:rPr>
                <w:sz w:val="24"/>
              </w:rPr>
            </w:pPr>
            <w:r>
              <w:rPr>
                <w:sz w:val="24"/>
              </w:rPr>
              <w:t>从事教育教学改革研究及获奖情况（含教改项目、研究论文、慕课、</w:t>
            </w:r>
          </w:p>
          <w:p>
            <w:pPr>
              <w:pStyle w:val="TableParagraph"/>
              <w:spacing w:line="287" w:lineRule="exact"/>
              <w:ind w:left="846" w:leftChars="0"/>
              <w:jc w:val="left"/>
              <w:rPr>
                <w:sz w:val="24"/>
              </w:rPr>
            </w:pPr>
            <w:r>
              <w:rPr>
                <w:sz w:val="24"/>
              </w:rPr>
              <w:t>教材等）</w:t>
            </w:r>
          </w:p>
        </w:tc>
        <w:tc>
          <w:tcPr>
            <w:tcW w:w="6921" w:type="dxa"/>
            <w:gridSpan w:val="8"/>
            <w:vAlign w:val="center"/>
          </w:tcPr>
          <w:p>
            <w:pPr>
              <w:pStyle w:val="TableParagraph"/>
              <w:jc w:val="left"/>
              <w:rPr>
                <w:rFonts w:ascii="Times New Roman"/>
                <w:b w:val="0"/>
                <w:bCs w:val="0"/>
                <w:sz w:val="24"/>
              </w:rPr>
            </w:pPr>
            <w:r>
              <w:rPr>
                <w:rFonts w:ascii="Times New Roman" w:hint="eastAsia"/>
                <w:b w:val="0"/>
                <w:bCs w:val="0"/>
                <w:sz w:val="24"/>
              </w:rPr>
              <w:t>主持教改项目：</w:t>
            </w:r>
          </w:p>
          <w:p>
            <w:pPr>
              <w:pStyle w:val="TableParagraph"/>
              <w:jc w:val="left"/>
              <w:rPr>
                <w:rFonts w:ascii="Times New Roman"/>
                <w:b w:val="0"/>
                <w:bCs w:val="0"/>
                <w:sz w:val="24"/>
                <w:szCs w:val="24"/>
              </w:rPr>
            </w:pPr>
            <w:r>
              <w:rPr>
                <w:rFonts w:ascii="Times New Roman" w:hint="eastAsia"/>
                <w:b w:val="0"/>
                <w:bCs w:val="0"/>
                <w:sz w:val="24"/>
                <w:szCs w:val="24"/>
              </w:rPr>
              <w:t>1、校级研究生教改项目</w:t>
            </w:r>
            <w:r>
              <w:rPr>
                <w:rFonts w:ascii="Times New Roman" w:hint="eastAsia"/>
                <w:b w:val="0"/>
                <w:bCs w:val="0"/>
                <w:sz w:val="24"/>
                <w:szCs w:val="24"/>
              </w:rPr>
              <w:t>“</w:t>
            </w:r>
            <w:r>
              <w:rPr>
                <w:rFonts w:ascii="Times New Roman" w:hint="eastAsia"/>
                <w:b w:val="0"/>
                <w:bCs w:val="0"/>
                <w:sz w:val="24"/>
                <w:szCs w:val="24"/>
              </w:rPr>
              <w:t>媒介实践与理论创新</w:t>
            </w:r>
            <w:r>
              <w:rPr>
                <w:rFonts w:hAnsi="Times New Roman" w:hint="eastAsia"/>
                <w:b w:val="0"/>
                <w:bCs w:val="0"/>
                <w:sz w:val="24"/>
                <w:szCs w:val="24"/>
              </w:rPr>
              <w:t>：电视艺术批评史课程改革</w:t>
            </w:r>
            <w:r>
              <w:rPr>
                <w:rFonts w:ascii="Times New Roman" w:hint="eastAsia"/>
                <w:b w:val="0"/>
                <w:bCs w:val="0"/>
                <w:sz w:val="24"/>
                <w:szCs w:val="24"/>
              </w:rPr>
              <w:t>”</w:t>
            </w:r>
            <w:r>
              <w:rPr>
                <w:rFonts w:ascii="Times New Roman" w:hint="eastAsia"/>
                <w:b w:val="0"/>
                <w:bCs w:val="0"/>
                <w:sz w:val="24"/>
                <w:szCs w:val="24"/>
              </w:rPr>
              <w:t>，3万元，2016-2020；</w:t>
            </w:r>
          </w:p>
          <w:p>
            <w:pPr>
              <w:pStyle w:val="TableParagraph"/>
              <w:jc w:val="left"/>
              <w:rPr>
                <w:rFonts w:hAnsi="Times New Roman"/>
                <w:b w:val="0"/>
                <w:bCs w:val="0"/>
                <w:sz w:val="24"/>
                <w:szCs w:val="24"/>
              </w:rPr>
            </w:pPr>
            <w:r>
              <w:rPr>
                <w:rFonts w:hAnsi="Times New Roman" w:hint="eastAsia"/>
                <w:b w:val="0"/>
                <w:bCs w:val="0"/>
                <w:sz w:val="24"/>
                <w:szCs w:val="24"/>
              </w:rPr>
              <w:t>2、</w:t>
            </w:r>
            <w:r>
              <w:rPr>
                <w:rFonts w:ascii="Times New Roman" w:hint="eastAsia"/>
                <w:b w:val="0"/>
                <w:bCs w:val="0"/>
                <w:sz w:val="24"/>
                <w:szCs w:val="24"/>
              </w:rPr>
              <w:t>校级重点教改项目，</w:t>
            </w:r>
            <w:r>
              <w:rPr>
                <w:rFonts w:hAnsi="Times New Roman" w:hint="eastAsia"/>
                <w:b w:val="0"/>
                <w:bCs w:val="0"/>
                <w:sz w:val="24"/>
                <w:szCs w:val="24"/>
              </w:rPr>
              <w:t>基于实践创新能力提升的戏剧影视专业人才培养模式研究，1万元，2014-2017；</w:t>
            </w:r>
          </w:p>
          <w:p>
            <w:pPr>
              <w:pStyle w:val="TableParagraph"/>
              <w:jc w:val="left"/>
              <w:rPr>
                <w:rFonts w:hAnsi="Times New Roman"/>
                <w:b w:val="0"/>
                <w:bCs w:val="0"/>
                <w:sz w:val="24"/>
                <w:szCs w:val="24"/>
              </w:rPr>
            </w:pPr>
            <w:r>
              <w:rPr>
                <w:rFonts w:hAnsi="Times New Roman" w:hint="eastAsia"/>
                <w:b w:val="0"/>
                <w:bCs w:val="0"/>
                <w:sz w:val="24"/>
                <w:szCs w:val="24"/>
              </w:rPr>
              <w:t>3、</w:t>
            </w:r>
            <w:r>
              <w:rPr>
                <w:rFonts w:ascii="Times New Roman" w:hint="eastAsia"/>
                <w:b w:val="0"/>
                <w:bCs w:val="0"/>
                <w:sz w:val="24"/>
                <w:szCs w:val="24"/>
              </w:rPr>
              <w:t>校级教改项目，</w:t>
            </w:r>
            <w:r>
              <w:rPr>
                <w:rFonts w:hAnsi="Times New Roman" w:hint="eastAsia"/>
                <w:b w:val="0"/>
                <w:bCs w:val="0"/>
                <w:sz w:val="24"/>
                <w:szCs w:val="24"/>
              </w:rPr>
              <w:t>戏剧影视专业课堂教学方法与手段创新研究，0.5万元，2012-2015。</w:t>
            </w:r>
          </w:p>
          <w:p>
            <w:pPr>
              <w:pStyle w:val="TableParagraph"/>
              <w:jc w:val="left"/>
              <w:rPr>
                <w:rFonts w:hAnsi="Times New Roman"/>
                <w:b w:val="0"/>
                <w:bCs w:val="0"/>
                <w:sz w:val="24"/>
                <w:szCs w:val="24"/>
              </w:rPr>
            </w:pPr>
            <w:r>
              <w:rPr>
                <w:rFonts w:hAnsi="Times New Roman" w:hint="eastAsia"/>
                <w:b w:val="0"/>
                <w:bCs w:val="0"/>
                <w:sz w:val="24"/>
                <w:szCs w:val="24"/>
              </w:rPr>
              <w:t>获奖情况：</w:t>
            </w:r>
          </w:p>
          <w:p>
            <w:pPr>
              <w:spacing w:line="420" w:lineRule="exact"/>
              <w:jc w:val="left"/>
              <w:rPr>
                <w:rFonts w:ascii="Times New Roman"/>
                <w:b w:val="0"/>
                <w:bCs w:val="0"/>
                <w:sz w:val="24"/>
              </w:rPr>
            </w:pPr>
            <w:r>
              <w:rPr>
                <w:rFonts w:ascii="宋体" w:eastAsia="宋体" w:hAnsi="宋体" w:hint="eastAsia"/>
                <w:b w:val="0"/>
                <w:bCs w:val="0"/>
                <w:color w:val="000000"/>
                <w:sz w:val="24"/>
                <w:szCs w:val="24"/>
              </w:rPr>
              <w:t>获国家广</w:t>
            </w:r>
            <w:r>
              <w:rPr>
                <w:rFonts w:ascii="宋体" w:eastAsia="宋体" w:hAnsi="宋体" w:hint="eastAsia"/>
                <w:b w:val="0"/>
                <w:bCs w:val="0"/>
                <w:color w:val="000000"/>
                <w:sz w:val="24"/>
              </w:rPr>
              <w:t>电总局颁发第六届飞天电视剧优秀论文奖。</w:t>
            </w:r>
          </w:p>
          <w:p>
            <w:pPr>
              <w:pStyle w:val="TableParagraph"/>
              <w:jc w:val="left"/>
              <w:rPr>
                <w:rFonts w:ascii="Times New Roman"/>
                <w:b w:val="0"/>
                <w:bCs w:val="0"/>
                <w:sz w:val="24"/>
              </w:rPr>
            </w:pPr>
            <w:r>
              <w:rPr>
                <w:rFonts w:ascii="Times New Roman" w:hint="eastAsia"/>
                <w:b w:val="0"/>
                <w:bCs w:val="0"/>
                <w:sz w:val="24"/>
              </w:rPr>
              <w:t>论文发表情况：</w:t>
            </w:r>
          </w:p>
          <w:p>
            <w:pPr>
              <w:pStyle w:val="TableParagraph"/>
              <w:jc w:val="left"/>
              <w:rPr>
                <w:rFonts w:ascii="Times New Roman"/>
                <w:b w:val="0"/>
                <w:bCs w:val="0"/>
                <w:sz w:val="24"/>
              </w:rPr>
            </w:pPr>
            <w:r>
              <w:rPr>
                <w:rFonts w:ascii="Times New Roman" w:hint="eastAsia"/>
                <w:b w:val="0"/>
                <w:bCs w:val="0"/>
                <w:sz w:val="24"/>
              </w:rPr>
              <w:t>近年来在《中国电视》、《当代电影》、《光明日报》、《现代传播》、《中国文艺评论》等刊物发表学术论文四十余篇，</w:t>
            </w:r>
            <w:r>
              <w:rPr>
                <w:rFonts w:ascii="Times New Roman" w:hint="eastAsia"/>
                <w:b w:val="0"/>
                <w:bCs w:val="0"/>
                <w:sz w:val="24"/>
                <w:lang w:eastAsia="zh-CN"/>
              </w:rPr>
              <w:t>其中</w:t>
            </w:r>
            <w:r>
              <w:rPr>
                <w:rFonts w:ascii="Times New Roman" w:hint="eastAsia"/>
                <w:b w:val="0"/>
                <w:bCs w:val="0"/>
                <w:sz w:val="24"/>
                <w:lang w:val="en-US" w:eastAsia="zh-CN"/>
              </w:rPr>
              <w:t>CSSCI核心15篇，省级以上期刊30余篇。</w:t>
            </w:r>
            <w:r>
              <w:rPr>
                <w:rFonts w:ascii="Times New Roman" w:hint="eastAsia"/>
                <w:b w:val="0"/>
                <w:bCs w:val="0"/>
                <w:sz w:val="24"/>
              </w:rPr>
              <w:t>出版专著一部。</w:t>
            </w:r>
          </w:p>
          <w:p>
            <w:pPr>
              <w:spacing w:line="420" w:lineRule="exact"/>
              <w:jc w:val="left"/>
              <w:rPr>
                <w:rFonts w:ascii="宋体" w:eastAsia="宋体" w:hAnsi="宋体"/>
                <w:b w:val="0"/>
                <w:bCs w:val="0"/>
                <w:color w:val="000000"/>
                <w:sz w:val="24"/>
              </w:rPr>
            </w:pPr>
            <w:r>
              <w:rPr>
                <w:rFonts w:ascii="宋体" w:eastAsia="宋体" w:hAnsi="宋体" w:hint="eastAsia"/>
                <w:b w:val="0"/>
                <w:bCs w:val="0"/>
                <w:color w:val="000000"/>
                <w:sz w:val="24"/>
              </w:rPr>
              <w:t>教材：</w:t>
            </w:r>
          </w:p>
          <w:p>
            <w:pPr>
              <w:spacing w:line="420" w:lineRule="exact"/>
              <w:jc w:val="left"/>
              <w:rPr>
                <w:rFonts w:ascii="Times New Roman"/>
                <w:sz w:val="24"/>
              </w:rPr>
            </w:pPr>
            <w:r>
              <w:rPr>
                <w:rFonts w:hint="eastAsia"/>
                <w:b w:val="0"/>
                <w:bCs w:val="0"/>
                <w:color w:val="000000"/>
                <w:sz w:val="24"/>
              </w:rPr>
              <w:t>《戏剧鉴赏》，全国高等院校公共艺术课系列教材</w:t>
            </w:r>
            <w:r>
              <w:rPr>
                <w:rFonts w:hint="eastAsia"/>
                <w:b w:val="0"/>
                <w:bCs w:val="0"/>
                <w:sz w:val="24"/>
              </w:rPr>
              <w:t>。</w:t>
            </w:r>
            <w:r>
              <w:rPr>
                <w:rFonts w:hint="eastAsia"/>
                <w:b w:val="0"/>
                <w:bCs w:val="0"/>
                <w:color w:val="000000"/>
                <w:sz w:val="24"/>
              </w:rPr>
              <w:t>对外经济贸易大学出版社2009年4月</w:t>
            </w:r>
            <w:r>
              <w:rPr>
                <w:rFonts w:hint="eastAsia"/>
                <w:b w:val="0"/>
                <w:bCs w:val="0"/>
                <w:sz w:val="24"/>
              </w:rPr>
              <w:t>版</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vAlign w:val="center"/>
          </w:tcPr>
          <w:p>
            <w:pPr>
              <w:pStyle w:val="TableParagraph"/>
              <w:ind w:left="606"/>
              <w:jc w:val="left"/>
              <w:rPr>
                <w:sz w:val="24"/>
              </w:rPr>
            </w:pPr>
            <w:r>
              <w:rPr>
                <w:sz w:val="24"/>
              </w:rPr>
              <w:t>从事科学研究</w:t>
            </w:r>
          </w:p>
          <w:p>
            <w:pPr>
              <w:pStyle w:val="TableParagraph"/>
              <w:spacing w:before="4" w:line="292" w:lineRule="exact"/>
              <w:ind w:left="726" w:leftChars="0"/>
              <w:jc w:val="left"/>
              <w:rPr>
                <w:sz w:val="24"/>
              </w:rPr>
            </w:pPr>
            <w:r>
              <w:rPr>
                <w:sz w:val="24"/>
              </w:rPr>
              <w:t>及获奖情况</w:t>
            </w:r>
          </w:p>
        </w:tc>
        <w:tc>
          <w:tcPr>
            <w:tcW w:w="6921" w:type="dxa"/>
            <w:gridSpan w:val="8"/>
            <w:vAlign w:val="center"/>
          </w:tcPr>
          <w:p>
            <w:pPr>
              <w:pStyle w:val="TableParagraph"/>
              <w:ind w:firstLine="480" w:firstLineChars="200"/>
              <w:jc w:val="left"/>
              <w:rPr>
                <w:rFonts w:ascii="Times New Roman"/>
                <w:sz w:val="24"/>
              </w:rPr>
            </w:pPr>
            <w:r>
              <w:rPr>
                <w:rFonts w:ascii="Times New Roman" w:hint="eastAsia"/>
                <w:sz w:val="24"/>
              </w:rPr>
              <w:t>独立主持浙江省哲学社会科重点规划课题、浙江省哲社课题、中国博士后科学基金资助课题、省教育厅课题等多个科研项目，承担完成教育部、浙江省社联课题两项。参与《中国大百科全书》、《中国电视艺术发展报告》等国家重要出版物的编撰。</w:t>
            </w:r>
          </w:p>
          <w:p>
            <w:pPr>
              <w:pStyle w:val="TableParagraph"/>
              <w:ind w:firstLine="480" w:firstLineChars="200"/>
              <w:jc w:val="left"/>
              <w:rPr>
                <w:rFonts w:ascii="Times New Roman"/>
                <w:sz w:val="24"/>
              </w:rPr>
            </w:pPr>
            <w:r>
              <w:rPr>
                <w:rFonts w:ascii="Times New Roman" w:hint="eastAsia"/>
                <w:sz w:val="24"/>
              </w:rPr>
              <w:t>获国家广播电视总局主办第六届飞天电视剧优秀论文奖；获浙江师范大学教学大赛</w:t>
            </w:r>
            <w:r>
              <w:rPr>
                <w:rFonts w:ascii="Times New Roman" w:hint="eastAsia"/>
                <w:sz w:val="24"/>
              </w:rPr>
              <w:t>“</w:t>
            </w:r>
            <w:r>
              <w:rPr>
                <w:rFonts w:ascii="Times New Roman" w:hint="eastAsia"/>
                <w:sz w:val="24"/>
              </w:rPr>
              <w:t>教学十佳</w:t>
            </w:r>
            <w:r>
              <w:rPr>
                <w:rFonts w:ascii="Times New Roman" w:hint="eastAsia"/>
                <w:sz w:val="24"/>
              </w:rPr>
              <w:t>”</w:t>
            </w:r>
            <w:r>
              <w:rPr>
                <w:rFonts w:ascii="Times New Roman" w:hint="eastAsia"/>
                <w:sz w:val="24"/>
              </w:rPr>
              <w:t>、校优秀中青年骨干教师、</w:t>
            </w:r>
            <w:r>
              <w:rPr>
                <w:rFonts w:ascii="Times New Roman" w:hint="eastAsia"/>
                <w:sz w:val="24"/>
              </w:rPr>
              <w:t>“</w:t>
            </w:r>
            <w:r>
              <w:rPr>
                <w:rFonts w:ascii="Times New Roman" w:hint="eastAsia"/>
                <w:sz w:val="24"/>
              </w:rPr>
              <w:t>学术名师</w:t>
            </w:r>
            <w:r>
              <w:rPr>
                <w:rFonts w:ascii="Times New Roman" w:hint="eastAsia"/>
                <w:sz w:val="24"/>
              </w:rPr>
              <w:t>”</w:t>
            </w:r>
            <w:r>
              <w:rPr>
                <w:rFonts w:ascii="Times New Roman" w:hint="eastAsia"/>
                <w:sz w:val="24"/>
              </w:rPr>
              <w:t>等荣誉称号。</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vAlign w:val="center"/>
          </w:tcPr>
          <w:p>
            <w:pPr>
              <w:pStyle w:val="TableParagraph"/>
              <w:spacing w:line="307" w:lineRule="exact"/>
              <w:ind w:left="107" w:right="98"/>
              <w:jc w:val="left"/>
              <w:rPr>
                <w:color w:val="auto"/>
                <w:sz w:val="24"/>
              </w:rPr>
            </w:pPr>
            <w:r>
              <w:rPr>
                <w:color w:val="auto"/>
                <w:sz w:val="24"/>
              </w:rPr>
              <w:t>近三年获得教学研究经</w:t>
            </w:r>
          </w:p>
          <w:p>
            <w:pPr>
              <w:pStyle w:val="TableParagraph"/>
              <w:spacing w:before="4" w:line="292" w:lineRule="exact"/>
              <w:ind w:left="106" w:right="98" w:leftChars="0" w:rightChars="0"/>
              <w:jc w:val="left"/>
              <w:rPr>
                <w:color w:val="auto"/>
                <w:sz w:val="24"/>
              </w:rPr>
            </w:pPr>
            <w:r>
              <w:rPr>
                <w:color w:val="auto"/>
                <w:sz w:val="24"/>
              </w:rPr>
              <w:t>费（万元）</w:t>
            </w:r>
          </w:p>
        </w:tc>
        <w:tc>
          <w:tcPr>
            <w:tcW w:w="2543" w:type="dxa"/>
            <w:gridSpan w:val="3"/>
            <w:vAlign w:val="center"/>
          </w:tcPr>
          <w:p>
            <w:pPr>
              <w:pStyle w:val="TableParagraph"/>
              <w:jc w:val="center"/>
              <w:rPr>
                <w:rFonts w:ascii="Times New Roman"/>
                <w:color w:val="auto"/>
                <w:sz w:val="24"/>
              </w:rPr>
            </w:pPr>
            <w:r>
              <w:rPr>
                <w:rFonts w:ascii="Times New Roman" w:hint="eastAsia"/>
                <w:color w:val="auto"/>
                <w:sz w:val="24"/>
              </w:rPr>
              <w:t>3</w:t>
            </w:r>
          </w:p>
        </w:tc>
        <w:tc>
          <w:tcPr>
            <w:tcW w:w="2490" w:type="dxa"/>
            <w:gridSpan w:val="3"/>
            <w:vAlign w:val="center"/>
          </w:tcPr>
          <w:p>
            <w:pPr>
              <w:pStyle w:val="TableParagraph"/>
              <w:spacing w:line="307" w:lineRule="exact"/>
              <w:ind w:left="106"/>
              <w:jc w:val="left"/>
              <w:rPr>
                <w:color w:val="auto"/>
                <w:sz w:val="24"/>
              </w:rPr>
            </w:pPr>
            <w:r>
              <w:rPr>
                <w:color w:val="auto"/>
                <w:sz w:val="24"/>
              </w:rPr>
              <w:t>近三年获得科学研</w:t>
            </w:r>
          </w:p>
          <w:p>
            <w:pPr>
              <w:pStyle w:val="TableParagraph"/>
              <w:spacing w:before="4" w:line="292" w:lineRule="exact"/>
              <w:ind w:left="106" w:leftChars="0"/>
              <w:jc w:val="left"/>
              <w:rPr>
                <w:color w:val="auto"/>
                <w:sz w:val="24"/>
              </w:rPr>
            </w:pPr>
            <w:r>
              <w:rPr>
                <w:color w:val="auto"/>
                <w:sz w:val="24"/>
              </w:rPr>
              <w:t>究经费（万元）</w:t>
            </w:r>
          </w:p>
        </w:tc>
        <w:tc>
          <w:tcPr>
            <w:tcW w:w="1888" w:type="dxa"/>
            <w:gridSpan w:val="2"/>
            <w:vAlign w:val="center"/>
          </w:tcPr>
          <w:p>
            <w:pPr>
              <w:pStyle w:val="TableParagraph"/>
              <w:jc w:val="center"/>
              <w:rPr>
                <w:rFonts w:ascii="Times New Roman"/>
                <w:color w:val="auto"/>
                <w:sz w:val="24"/>
              </w:rPr>
            </w:pPr>
            <w:r>
              <w:rPr>
                <w:rFonts w:ascii="Times New Roman" w:hint="eastAsia"/>
                <w:color w:val="auto"/>
                <w:sz w:val="24"/>
              </w:rPr>
              <w:t>5</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vAlign w:val="center"/>
          </w:tcPr>
          <w:p>
            <w:pPr>
              <w:pStyle w:val="TableParagraph"/>
              <w:spacing w:line="307" w:lineRule="exact"/>
              <w:ind w:left="107" w:right="98"/>
              <w:jc w:val="left"/>
              <w:rPr>
                <w:color w:val="auto"/>
                <w:sz w:val="24"/>
              </w:rPr>
            </w:pPr>
            <w:r>
              <w:rPr>
                <w:color w:val="auto"/>
                <w:sz w:val="24"/>
              </w:rPr>
              <w:t>近三年给本科生授课</w:t>
            </w:r>
          </w:p>
          <w:p>
            <w:pPr>
              <w:pStyle w:val="TableParagraph"/>
              <w:spacing w:before="4" w:line="292" w:lineRule="exact"/>
              <w:ind w:left="106" w:right="98" w:leftChars="0" w:rightChars="0"/>
              <w:jc w:val="left"/>
              <w:rPr>
                <w:color w:val="auto"/>
                <w:sz w:val="24"/>
              </w:rPr>
            </w:pPr>
            <w:r>
              <w:rPr>
                <w:color w:val="auto"/>
                <w:sz w:val="24"/>
              </w:rPr>
              <w:t>课程及学时数</w:t>
            </w:r>
          </w:p>
        </w:tc>
        <w:tc>
          <w:tcPr>
            <w:tcW w:w="2543" w:type="dxa"/>
            <w:gridSpan w:val="3"/>
            <w:vAlign w:val="center"/>
          </w:tcPr>
          <w:p>
            <w:pPr>
              <w:pStyle w:val="TableParagraph"/>
              <w:jc w:val="left"/>
              <w:rPr>
                <w:rFonts w:ascii="Times New Roman" w:hint="eastAsia"/>
                <w:color w:val="auto"/>
                <w:sz w:val="24"/>
              </w:rPr>
            </w:pPr>
            <w:r>
              <w:rPr>
                <w:rFonts w:ascii="Times New Roman" w:hint="eastAsia"/>
                <w:color w:val="auto"/>
                <w:sz w:val="24"/>
              </w:rPr>
              <w:t>授课《戏剧艺术概论》课程学时96、</w:t>
            </w:r>
          </w:p>
          <w:p>
            <w:pPr>
              <w:pStyle w:val="TableParagraph"/>
              <w:jc w:val="left"/>
              <w:rPr>
                <w:rFonts w:ascii="Times New Roman" w:hint="eastAsia"/>
                <w:color w:val="auto"/>
                <w:sz w:val="24"/>
              </w:rPr>
            </w:pPr>
            <w:r>
              <w:rPr>
                <w:rFonts w:ascii="Times New Roman" w:hint="eastAsia"/>
                <w:color w:val="auto"/>
                <w:sz w:val="24"/>
              </w:rPr>
              <w:t>《西方戏剧史》课程学时144、</w:t>
            </w:r>
          </w:p>
          <w:p>
            <w:pPr>
              <w:pStyle w:val="TableParagraph"/>
              <w:jc w:val="left"/>
              <w:rPr>
                <w:rFonts w:ascii="Times New Roman"/>
                <w:color w:val="auto"/>
                <w:sz w:val="24"/>
              </w:rPr>
            </w:pPr>
            <w:r>
              <w:rPr>
                <w:rFonts w:ascii="Times New Roman" w:hint="eastAsia"/>
                <w:color w:val="auto"/>
                <w:sz w:val="24"/>
              </w:rPr>
              <w:t>《电视剧本创作》课程学时144</w:t>
            </w:r>
          </w:p>
        </w:tc>
        <w:tc>
          <w:tcPr>
            <w:tcW w:w="2490" w:type="dxa"/>
            <w:gridSpan w:val="3"/>
            <w:vAlign w:val="center"/>
          </w:tcPr>
          <w:p>
            <w:pPr>
              <w:pStyle w:val="TableParagraph"/>
              <w:spacing w:line="307" w:lineRule="exact"/>
              <w:ind w:left="106"/>
              <w:jc w:val="left"/>
              <w:rPr>
                <w:color w:val="auto"/>
                <w:sz w:val="24"/>
              </w:rPr>
            </w:pPr>
            <w:r>
              <w:rPr>
                <w:color w:val="auto"/>
                <w:sz w:val="24"/>
              </w:rPr>
              <w:t>近三年指导本科毕</w:t>
            </w:r>
          </w:p>
          <w:p>
            <w:pPr>
              <w:pStyle w:val="TableParagraph"/>
              <w:spacing w:before="4" w:line="292" w:lineRule="exact"/>
              <w:ind w:left="106" w:leftChars="0"/>
              <w:jc w:val="left"/>
              <w:rPr>
                <w:color w:val="auto"/>
                <w:sz w:val="24"/>
              </w:rPr>
            </w:pPr>
            <w:r>
              <w:rPr>
                <w:color w:val="auto"/>
                <w:sz w:val="24"/>
              </w:rPr>
              <w:t>业设计（人次）</w:t>
            </w:r>
          </w:p>
        </w:tc>
        <w:tc>
          <w:tcPr>
            <w:tcW w:w="1888" w:type="dxa"/>
            <w:gridSpan w:val="2"/>
            <w:vAlign w:val="center"/>
          </w:tcPr>
          <w:p>
            <w:pPr>
              <w:pStyle w:val="TableParagraph"/>
              <w:jc w:val="center"/>
              <w:rPr>
                <w:rFonts w:ascii="Times New Roman"/>
                <w:color w:val="auto"/>
                <w:sz w:val="24"/>
              </w:rPr>
            </w:pPr>
            <w:r>
              <w:rPr>
                <w:rFonts w:ascii="Times New Roman" w:hint="eastAsia"/>
                <w:color w:val="auto"/>
                <w:sz w:val="24"/>
              </w:rPr>
              <w:t>15</w:t>
            </w:r>
          </w:p>
        </w:tc>
      </w:tr>
    </w:tbl>
    <w:p>
      <w:pPr>
        <w:pStyle w:val="ListParagraph"/>
        <w:widowControl w:val="0"/>
        <w:numPr>
          <w:ilvl w:val="0"/>
          <w:numId w:val="0"/>
        </w:numPr>
        <w:tabs>
          <w:tab w:val="left" w:pos="714"/>
        </w:tabs>
        <w:autoSpaceDE w:val="0"/>
        <w:autoSpaceDN w:val="0"/>
        <w:spacing w:before="0" w:line="484" w:lineRule="exact"/>
        <w:ind w:left="-279" w:leftChars="0"/>
        <w:jc w:val="both"/>
        <w:rPr>
          <w:rFonts w:ascii="黑体" w:eastAsia="黑体" w:hint="eastAsia"/>
          <w:sz w:val="36"/>
          <w:lang w:eastAsia="zh-CN"/>
        </w:rPr>
      </w:pPr>
    </w:p>
    <w:p>
      <w:pPr>
        <w:pStyle w:val="ListParagraph"/>
        <w:widowControl w:val="0"/>
        <w:numPr>
          <w:ilvl w:val="0"/>
          <w:numId w:val="0"/>
        </w:numPr>
        <w:tabs>
          <w:tab w:val="left" w:pos="714"/>
        </w:tabs>
        <w:autoSpaceDE w:val="0"/>
        <w:autoSpaceDN w:val="0"/>
        <w:spacing w:before="0" w:line="484" w:lineRule="exact"/>
        <w:ind w:left="-279" w:leftChars="0"/>
        <w:jc w:val="both"/>
        <w:rPr>
          <w:rFonts w:ascii="黑体" w:eastAsia="黑体" w:hint="eastAsia"/>
          <w:sz w:val="36"/>
          <w:lang w:eastAsia="zh-CN"/>
        </w:rPr>
      </w:pPr>
    </w:p>
    <w:p>
      <w:pPr>
        <w:spacing w:before="5"/>
        <w:rPr>
          <w:sz w:val="21"/>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
      <w:tblGrid>
        <w:gridCol w:w="960"/>
        <w:gridCol w:w="1438"/>
        <w:gridCol w:w="257"/>
        <w:gridCol w:w="989"/>
        <w:gridCol w:w="879"/>
        <w:gridCol w:w="438"/>
        <w:gridCol w:w="1282"/>
        <w:gridCol w:w="1023"/>
        <w:gridCol w:w="199"/>
        <w:gridCol w:w="1119"/>
        <w:gridCol w:w="992"/>
      </w:tblGrid>
      <w:tr>
        <w:tblPrEx>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Ex>
        <w:trPr>
          <w:trHeight w:val="340"/>
        </w:trPr>
        <w:tc>
          <w:tcPr>
            <w:tcW w:w="960" w:type="dxa"/>
          </w:tcPr>
          <w:p>
            <w:pPr>
              <w:pStyle w:val="TableParagraph"/>
              <w:spacing w:before="14" w:line="306" w:lineRule="exact"/>
              <w:ind w:left="239"/>
              <w:rPr>
                <w:sz w:val="24"/>
              </w:rPr>
            </w:pPr>
            <w:r>
              <w:rPr>
                <w:sz w:val="24"/>
              </w:rPr>
              <w:t>姓名</w:t>
            </w:r>
          </w:p>
        </w:tc>
        <w:tc>
          <w:tcPr>
            <w:tcW w:w="1438" w:type="dxa"/>
          </w:tcPr>
          <w:p>
            <w:pPr>
              <w:pStyle w:val="TableParagraph"/>
              <w:rPr>
                <w:rFonts w:ascii="Times New Roman" w:eastAsia="宋体" w:hint="eastAsia"/>
                <w:sz w:val="24"/>
                <w:lang w:val="en-US" w:eastAsia="zh-CN"/>
              </w:rPr>
            </w:pPr>
            <w:r>
              <w:rPr>
                <w:rFonts w:ascii="Times New Roman" w:hint="eastAsia"/>
                <w:sz w:val="24"/>
                <w:lang w:val="en-US" w:eastAsia="zh-CN"/>
              </w:rPr>
              <w:t>韦田</w:t>
            </w:r>
          </w:p>
        </w:tc>
        <w:tc>
          <w:tcPr>
            <w:tcW w:w="1246" w:type="dxa"/>
            <w:gridSpan w:val="2"/>
          </w:tcPr>
          <w:p>
            <w:pPr>
              <w:pStyle w:val="TableParagraph"/>
              <w:spacing w:before="14" w:line="306" w:lineRule="exact"/>
              <w:ind w:left="381"/>
              <w:rPr>
                <w:sz w:val="24"/>
              </w:rPr>
            </w:pPr>
            <w:r>
              <w:rPr>
                <w:sz w:val="24"/>
              </w:rPr>
              <w:t>性别</w:t>
            </w:r>
          </w:p>
        </w:tc>
        <w:tc>
          <w:tcPr>
            <w:tcW w:w="879" w:type="dxa"/>
          </w:tcPr>
          <w:p>
            <w:pPr>
              <w:pStyle w:val="TableParagraph"/>
              <w:rPr>
                <w:rFonts w:ascii="Times New Roman" w:eastAsia="宋体" w:hint="eastAsia"/>
                <w:sz w:val="24"/>
                <w:lang w:val="en-US" w:eastAsia="zh-CN"/>
              </w:rPr>
            </w:pPr>
            <w:r>
              <w:rPr>
                <w:rFonts w:ascii="Times New Roman" w:hint="eastAsia"/>
                <w:sz w:val="24"/>
                <w:lang w:val="en-US" w:eastAsia="zh-CN"/>
              </w:rPr>
              <w:t>男</w:t>
            </w:r>
          </w:p>
        </w:tc>
        <w:tc>
          <w:tcPr>
            <w:tcW w:w="1720" w:type="dxa"/>
            <w:gridSpan w:val="2"/>
          </w:tcPr>
          <w:p>
            <w:pPr>
              <w:pStyle w:val="TableParagraph"/>
              <w:spacing w:before="14" w:line="306" w:lineRule="exact"/>
              <w:ind w:left="138"/>
              <w:rPr>
                <w:sz w:val="24"/>
              </w:rPr>
            </w:pPr>
            <w:r>
              <w:rPr>
                <w:sz w:val="24"/>
              </w:rPr>
              <w:t>专业技术职务</w:t>
            </w:r>
          </w:p>
        </w:tc>
        <w:tc>
          <w:tcPr>
            <w:tcW w:w="1222" w:type="dxa"/>
            <w:gridSpan w:val="2"/>
          </w:tcPr>
          <w:p>
            <w:pPr>
              <w:pStyle w:val="TableParagraph"/>
              <w:rPr>
                <w:rFonts w:ascii="Times New Roman" w:eastAsia="宋体" w:hint="default"/>
                <w:sz w:val="24"/>
                <w:lang w:val="en-US" w:eastAsia="zh-CN"/>
              </w:rPr>
            </w:pPr>
            <w:r>
              <w:rPr>
                <w:rFonts w:ascii="Times New Roman" w:hint="eastAsia"/>
                <w:sz w:val="24"/>
                <w:lang w:val="en-US" w:eastAsia="zh-CN"/>
              </w:rPr>
              <w:t>其他正高级</w:t>
            </w:r>
          </w:p>
        </w:tc>
        <w:tc>
          <w:tcPr>
            <w:tcW w:w="1119" w:type="dxa"/>
          </w:tcPr>
          <w:p>
            <w:pPr>
              <w:pStyle w:val="TableParagraph"/>
              <w:spacing w:before="14" w:line="306" w:lineRule="exact"/>
              <w:ind w:left="131"/>
              <w:rPr>
                <w:sz w:val="24"/>
              </w:rPr>
            </w:pPr>
            <w:r>
              <w:rPr>
                <w:sz w:val="24"/>
              </w:rPr>
              <w:t>行政职务</w:t>
            </w:r>
          </w:p>
        </w:tc>
        <w:tc>
          <w:tcPr>
            <w:tcW w:w="992" w:type="dxa"/>
          </w:tcPr>
          <w:p>
            <w:pPr>
              <w:pStyle w:val="TableParagraph"/>
              <w:rPr>
                <w:rFonts w:ascii="Times New Roman" w:eastAsia="宋体" w:hint="eastAsia"/>
                <w:sz w:val="24"/>
                <w:lang w:val="en-US" w:eastAsia="zh-CN"/>
              </w:rPr>
            </w:pPr>
          </w:p>
        </w:tc>
      </w:tr>
      <w:tr>
        <w:tblPrEx>
          <w:tblW w:w="0" w:type="auto"/>
          <w:tblInd w:w="116" w:type="dxa"/>
          <w:tblLayout w:type="fixed"/>
          <w:tblCellMar>
            <w:top w:w="0" w:type="dxa"/>
            <w:left w:w="0" w:type="dxa"/>
            <w:bottom w:w="0" w:type="dxa"/>
            <w:right w:w="0" w:type="dxa"/>
          </w:tblCellMar>
          <w:tblLook w:val="0000"/>
        </w:tblPrEx>
        <w:trPr>
          <w:trHeight w:val="623"/>
        </w:trPr>
        <w:tc>
          <w:tcPr>
            <w:tcW w:w="960" w:type="dxa"/>
          </w:tcPr>
          <w:p>
            <w:pPr>
              <w:pStyle w:val="TableParagraph"/>
              <w:spacing w:line="307" w:lineRule="exact"/>
              <w:ind w:left="99" w:right="90"/>
              <w:jc w:val="center"/>
              <w:rPr>
                <w:sz w:val="24"/>
              </w:rPr>
            </w:pPr>
            <w:r>
              <w:rPr>
                <w:sz w:val="24"/>
              </w:rPr>
              <w:t>拟承担</w:t>
            </w:r>
          </w:p>
          <w:p>
            <w:pPr>
              <w:pStyle w:val="TableParagraph"/>
              <w:spacing w:before="4" w:line="292" w:lineRule="exact"/>
              <w:ind w:left="99" w:right="90"/>
              <w:jc w:val="center"/>
              <w:rPr>
                <w:sz w:val="24"/>
              </w:rPr>
            </w:pPr>
            <w:r>
              <w:rPr>
                <w:sz w:val="24"/>
              </w:rPr>
              <w:t>课程</w:t>
            </w:r>
          </w:p>
        </w:tc>
        <w:tc>
          <w:tcPr>
            <w:tcW w:w="3563" w:type="dxa"/>
            <w:gridSpan w:val="4"/>
            <w:vAlign w:val="center"/>
          </w:tcPr>
          <w:p>
            <w:pPr>
              <w:pStyle w:val="TableParagraph"/>
              <w:jc w:val="center"/>
              <w:rPr>
                <w:rFonts w:ascii="Times New Roman" w:eastAsia="宋体" w:hint="eastAsia"/>
                <w:sz w:val="24"/>
                <w:lang w:eastAsia="zh-CN"/>
              </w:rPr>
            </w:pPr>
            <w:r>
              <w:rPr>
                <w:rFonts w:ascii="Times New Roman" w:hint="eastAsia"/>
                <w:sz w:val="24"/>
                <w:lang w:eastAsia="zh-CN"/>
              </w:rPr>
              <w:t>台词</w:t>
            </w:r>
          </w:p>
        </w:tc>
        <w:tc>
          <w:tcPr>
            <w:tcW w:w="1720" w:type="dxa"/>
            <w:gridSpan w:val="2"/>
            <w:vAlign w:val="center"/>
          </w:tcPr>
          <w:p>
            <w:pPr>
              <w:pStyle w:val="TableParagraph"/>
              <w:spacing w:before="155"/>
              <w:ind w:left="138"/>
              <w:jc w:val="center"/>
              <w:rPr>
                <w:sz w:val="24"/>
              </w:rPr>
            </w:pPr>
            <w:r>
              <w:rPr>
                <w:sz w:val="24"/>
              </w:rPr>
              <w:t>现在所在单位</w:t>
            </w:r>
          </w:p>
        </w:tc>
        <w:tc>
          <w:tcPr>
            <w:tcW w:w="3333" w:type="dxa"/>
            <w:gridSpan w:val="4"/>
            <w:vAlign w:val="center"/>
          </w:tcPr>
          <w:p>
            <w:pPr>
              <w:pStyle w:val="TableParagraph"/>
              <w:jc w:val="center"/>
              <w:rPr>
                <w:rFonts w:ascii="Times New Roman" w:eastAsia="宋体" w:hint="eastAsia"/>
                <w:sz w:val="24"/>
                <w:lang w:val="en-US" w:eastAsia="zh-CN"/>
              </w:rPr>
            </w:pPr>
            <w:r>
              <w:rPr>
                <w:rFonts w:ascii="Times New Roman" w:hint="eastAsia"/>
                <w:sz w:val="24"/>
                <w:lang w:val="en-US" w:eastAsia="zh-CN"/>
              </w:rPr>
              <w:t>河北科技学院</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rPr>
                <w:rFonts w:ascii="Times New Roman"/>
                <w:sz w:val="24"/>
              </w:rPr>
            </w:pPr>
            <w:r>
              <w:rPr>
                <w:rFonts w:ascii="Times New Roman"/>
                <w:sz w:val="24"/>
              </w:rPr>
              <w:t>最后学历毕业时间、</w:t>
            </w:r>
          </w:p>
          <w:p>
            <w:pPr>
              <w:pStyle w:val="TableParagraph"/>
              <w:rPr>
                <w:rFonts w:ascii="Times New Roman"/>
                <w:sz w:val="24"/>
              </w:rPr>
            </w:pPr>
            <w:r>
              <w:rPr>
                <w:rFonts w:ascii="Times New Roman"/>
                <w:sz w:val="24"/>
              </w:rPr>
              <w:t>学校、专业</w:t>
            </w:r>
          </w:p>
        </w:tc>
        <w:tc>
          <w:tcPr>
            <w:tcW w:w="6921" w:type="dxa"/>
            <w:gridSpan w:val="8"/>
          </w:tcPr>
          <w:p>
            <w:pPr>
              <w:spacing w:line="288" w:lineRule="auto"/>
              <w:rPr>
                <w:rFonts w:ascii="Times New Roman" w:eastAsia="宋体" w:hAnsi="Times New Roman" w:cs="Times New Roman"/>
                <w:color w:val="000000"/>
                <w:kern w:val="0"/>
                <w:sz w:val="24"/>
                <w:lang w:bidi="ar"/>
              </w:rPr>
            </w:pPr>
            <w:r>
              <w:rPr>
                <w:rFonts w:ascii="Times New Roman" w:eastAsia="宋体" w:hAnsi="Times New Roman" w:cs="Times New Roman" w:hint="eastAsia"/>
                <w:color w:val="000000"/>
                <w:kern w:val="0"/>
                <w:sz w:val="24"/>
                <w:lang w:bidi="ar"/>
              </w:rPr>
              <w:t>1996年毕业于中央党校党政管理专业</w:t>
            </w:r>
          </w:p>
          <w:p>
            <w:pPr>
              <w:pStyle w:val="TableParagraph"/>
              <w:rPr>
                <w:rFonts w:ascii="Times New Roman"/>
                <w:sz w:val="24"/>
              </w:rPr>
            </w:pPr>
          </w:p>
        </w:tc>
      </w:tr>
      <w:tr>
        <w:tblPrEx>
          <w:tblW w:w="0" w:type="auto"/>
          <w:tblInd w:w="116" w:type="dxa"/>
          <w:tblLayout w:type="fixed"/>
          <w:tblCellMar>
            <w:top w:w="0" w:type="dxa"/>
            <w:left w:w="0" w:type="dxa"/>
            <w:bottom w:w="0" w:type="dxa"/>
            <w:right w:w="0" w:type="dxa"/>
          </w:tblCellMar>
          <w:tblLook w:val="0000"/>
        </w:tblPrEx>
        <w:trPr>
          <w:trHeight w:val="626"/>
        </w:trPr>
        <w:tc>
          <w:tcPr>
            <w:tcW w:w="2655" w:type="dxa"/>
            <w:gridSpan w:val="3"/>
          </w:tcPr>
          <w:p>
            <w:pPr>
              <w:pStyle w:val="TableParagraph"/>
              <w:spacing w:before="158"/>
              <w:ind w:left="606"/>
              <w:rPr>
                <w:sz w:val="24"/>
              </w:rPr>
            </w:pPr>
            <w:r>
              <w:rPr>
                <w:sz w:val="24"/>
              </w:rPr>
              <w:t>主要研究方向</w:t>
            </w:r>
          </w:p>
        </w:tc>
        <w:tc>
          <w:tcPr>
            <w:tcW w:w="6921" w:type="dxa"/>
            <w:gridSpan w:val="8"/>
          </w:tcPr>
          <w:p>
            <w:pPr>
              <w:pStyle w:val="TableParagraph"/>
              <w:rPr>
                <w:rFonts w:ascii="Times New Roman" w:eastAsia="宋体" w:hint="default"/>
                <w:sz w:val="24"/>
                <w:lang w:val="en-US" w:eastAsia="zh-CN"/>
              </w:rPr>
            </w:pPr>
            <w:r>
              <w:rPr>
                <w:rFonts w:ascii="Times New Roman" w:eastAsia="宋体" w:hint="eastAsia"/>
                <w:sz w:val="24"/>
                <w:lang w:val="en-US" w:eastAsia="zh-CN"/>
              </w:rPr>
              <w:t>口语传播、配音艺术</w:t>
            </w:r>
          </w:p>
        </w:tc>
      </w:tr>
      <w:tr>
        <w:tblPrEx>
          <w:tblW w:w="0" w:type="auto"/>
          <w:tblInd w:w="116" w:type="dxa"/>
          <w:tblLayout w:type="fixed"/>
          <w:tblCellMar>
            <w:top w:w="0" w:type="dxa"/>
            <w:left w:w="0" w:type="dxa"/>
            <w:bottom w:w="0" w:type="dxa"/>
            <w:right w:w="0" w:type="dxa"/>
          </w:tblCellMar>
          <w:tblLook w:val="0000"/>
        </w:tblPrEx>
        <w:trPr>
          <w:trHeight w:val="1248"/>
        </w:trPr>
        <w:tc>
          <w:tcPr>
            <w:tcW w:w="2655" w:type="dxa"/>
            <w:gridSpan w:val="3"/>
          </w:tcPr>
          <w:p>
            <w:pPr>
              <w:pStyle w:val="TableParagraph"/>
              <w:spacing w:before="14" w:line="306" w:lineRule="exact"/>
              <w:ind w:left="239"/>
              <w:rPr>
                <w:rFonts w:ascii="宋体" w:eastAsia="宋体" w:hAnsi="宋体" w:cs="宋体"/>
                <w:sz w:val="24"/>
              </w:rPr>
            </w:pPr>
            <w:r>
              <w:rPr>
                <w:rFonts w:ascii="宋体" w:eastAsia="宋体" w:hAnsi="宋体" w:cs="宋体"/>
                <w:sz w:val="24"/>
              </w:rPr>
              <w:t>从事教育教学改革研究及获奖情况（含教改项目、研究论文、慕课、</w:t>
            </w:r>
          </w:p>
          <w:p>
            <w:pPr>
              <w:pStyle w:val="TableParagraph"/>
              <w:spacing w:before="14" w:line="306" w:lineRule="exact"/>
              <w:ind w:left="239"/>
              <w:rPr>
                <w:rFonts w:ascii="宋体" w:eastAsia="宋体" w:hAnsi="宋体" w:cs="宋体"/>
                <w:sz w:val="24"/>
              </w:rPr>
            </w:pPr>
            <w:r>
              <w:rPr>
                <w:rFonts w:ascii="宋体" w:eastAsia="宋体" w:hAnsi="宋体" w:cs="宋体"/>
                <w:sz w:val="24"/>
              </w:rPr>
              <w:t>教材等）</w:t>
            </w:r>
          </w:p>
        </w:tc>
        <w:tc>
          <w:tcPr>
            <w:tcW w:w="6921" w:type="dxa"/>
            <w:gridSpan w:val="8"/>
          </w:tcPr>
          <w:p>
            <w:pPr>
              <w:pStyle w:val="TableParagraph"/>
              <w:numPr>
                <w:ilvl w:val="0"/>
                <w:numId w:val="0"/>
              </w:numPr>
              <w:spacing w:before="14" w:line="306" w:lineRule="exact"/>
              <w:jc w:val="both"/>
              <w:rPr>
                <w:rFonts w:ascii="Times New Roman" w:hint="eastAsia"/>
                <w:b w:val="0"/>
                <w:bCs w:val="0"/>
                <w:sz w:val="24"/>
              </w:rPr>
            </w:pPr>
            <w:r>
              <w:rPr>
                <w:rFonts w:ascii="Times New Roman" w:hint="eastAsia"/>
                <w:b w:val="0"/>
                <w:bCs w:val="0"/>
                <w:sz w:val="24"/>
              </w:rPr>
              <w:t>论文发表情况：</w:t>
            </w:r>
          </w:p>
          <w:p>
            <w:pPr>
              <w:pStyle w:val="TableParagraph"/>
              <w:numPr>
                <w:ilvl w:val="0"/>
                <w:numId w:val="0"/>
              </w:numPr>
              <w:spacing w:before="14" w:line="306" w:lineRule="exact"/>
              <w:ind w:firstLine="480" w:firstLineChars="200"/>
              <w:jc w:val="both"/>
              <w:rPr>
                <w:rFonts w:ascii="宋体" w:eastAsia="宋体" w:hAnsi="宋体" w:cs="宋体" w:hint="eastAsia"/>
                <w:sz w:val="24"/>
                <w:lang w:val="en-US" w:eastAsia="zh-CN"/>
              </w:rPr>
            </w:pPr>
            <w:r>
              <w:rPr>
                <w:rFonts w:cs="宋体" w:hint="eastAsia"/>
                <w:sz w:val="24"/>
                <w:lang w:val="en-US" w:eastAsia="zh-CN"/>
              </w:rPr>
              <w:t>近年来，在《当代电视》、《唐山文学》等刊物发表论文20余篇，其中北大核心论文8篇，省级以上期刊10余篇。例如：</w:t>
            </w:r>
          </w:p>
          <w:p>
            <w:pPr>
              <w:pStyle w:val="TableParagraph"/>
              <w:numPr>
                <w:ilvl w:val="0"/>
                <w:numId w:val="1"/>
              </w:numPr>
              <w:tabs>
                <w:tab w:val="left" w:pos="312"/>
              </w:tabs>
              <w:spacing w:before="14" w:line="306" w:lineRule="exact"/>
              <w:ind w:left="239"/>
              <w:jc w:val="both"/>
              <w:rPr>
                <w:rFonts w:ascii="宋体" w:eastAsia="宋体" w:hAnsi="宋体" w:cs="宋体" w:hint="eastAsia"/>
                <w:sz w:val="24"/>
                <w:lang w:val="en-US" w:eastAsia="zh-CN"/>
              </w:rPr>
            </w:pPr>
            <w:r>
              <w:rPr>
                <w:rFonts w:ascii="宋体" w:eastAsia="宋体" w:hAnsi="宋体" w:cs="宋体" w:hint="eastAsia"/>
                <w:sz w:val="24"/>
                <w:lang w:val="en-US" w:eastAsia="zh-CN"/>
              </w:rPr>
              <w:t>韦田.主持人风格与优势定位分析[J].当代电视,2006(12):54-55.（北大核心）</w:t>
            </w:r>
          </w:p>
          <w:p>
            <w:pPr>
              <w:pStyle w:val="TableParagraph"/>
              <w:numPr>
                <w:ilvl w:val="0"/>
                <w:numId w:val="1"/>
              </w:numPr>
              <w:tabs>
                <w:tab w:val="left" w:pos="312"/>
              </w:tabs>
              <w:spacing w:before="14" w:line="306" w:lineRule="exact"/>
              <w:ind w:left="239"/>
              <w:jc w:val="both"/>
              <w:rPr>
                <w:rFonts w:ascii="宋体" w:eastAsia="宋体" w:hAnsi="宋体" w:cs="宋体" w:hint="eastAsia"/>
                <w:sz w:val="24"/>
                <w:lang w:val="en-US" w:eastAsia="zh-CN"/>
              </w:rPr>
            </w:pPr>
            <w:r>
              <w:rPr>
                <w:rFonts w:ascii="宋体" w:eastAsia="宋体" w:hAnsi="宋体" w:cs="宋体" w:hint="eastAsia"/>
                <w:sz w:val="24"/>
                <w:lang w:val="en-US" w:eastAsia="zh-CN"/>
              </w:rPr>
              <w:t>韦田.选什么样的动画给儿童看?[J].当代电视,2003(06):28-29.（北大核心）</w:t>
            </w:r>
          </w:p>
          <w:p>
            <w:pPr>
              <w:pStyle w:val="TableParagraph"/>
              <w:numPr>
                <w:ilvl w:val="0"/>
                <w:numId w:val="1"/>
              </w:numPr>
              <w:tabs>
                <w:tab w:val="left" w:pos="312"/>
              </w:tabs>
              <w:spacing w:before="14" w:line="306" w:lineRule="exact"/>
              <w:ind w:left="239"/>
              <w:jc w:val="both"/>
              <w:rPr>
                <w:rFonts w:ascii="宋体" w:eastAsia="宋体" w:hAnsi="宋体" w:cs="宋体" w:hint="eastAsia"/>
                <w:sz w:val="24"/>
                <w:lang w:val="en-US" w:eastAsia="zh-CN"/>
              </w:rPr>
            </w:pPr>
            <w:r>
              <w:rPr>
                <w:rFonts w:ascii="宋体" w:eastAsia="宋体" w:hAnsi="宋体" w:cs="宋体" w:hint="eastAsia"/>
                <w:sz w:val="24"/>
                <w:lang w:val="en-US" w:eastAsia="zh-CN"/>
              </w:rPr>
              <w:t>韦田.名人明星当自重[J].当代电视,2003(02):60.（北大核心）</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spacing w:before="14" w:line="306" w:lineRule="exact"/>
              <w:ind w:left="239"/>
              <w:rPr>
                <w:rFonts w:ascii="宋体" w:eastAsia="宋体" w:hAnsi="宋体" w:cs="宋体"/>
                <w:sz w:val="24"/>
              </w:rPr>
            </w:pPr>
            <w:r>
              <w:rPr>
                <w:rFonts w:ascii="宋体" w:eastAsia="宋体" w:hAnsi="宋体" w:cs="宋体"/>
                <w:sz w:val="24"/>
              </w:rPr>
              <w:t>从事科学研究</w:t>
            </w:r>
          </w:p>
          <w:p>
            <w:pPr>
              <w:pStyle w:val="TableParagraph"/>
              <w:spacing w:before="14" w:line="306" w:lineRule="exact"/>
              <w:ind w:left="239"/>
              <w:rPr>
                <w:rFonts w:ascii="宋体" w:eastAsia="宋体" w:hAnsi="宋体" w:cs="宋体"/>
                <w:sz w:val="24"/>
              </w:rPr>
            </w:pPr>
            <w:r>
              <w:rPr>
                <w:rFonts w:ascii="宋体" w:eastAsia="宋体" w:hAnsi="宋体" w:cs="宋体"/>
                <w:sz w:val="24"/>
              </w:rPr>
              <w:t>及获奖情况</w:t>
            </w:r>
          </w:p>
        </w:tc>
        <w:tc>
          <w:tcPr>
            <w:tcW w:w="6921" w:type="dxa"/>
            <w:gridSpan w:val="8"/>
          </w:tcPr>
          <w:p>
            <w:pPr>
              <w:pStyle w:val="TableParagraph"/>
              <w:jc w:val="left"/>
              <w:rPr>
                <w:rFonts w:ascii="Times New Roman" w:eastAsia="宋体" w:hAnsi="宋体" w:cs="宋体" w:hint="eastAsia"/>
                <w:color w:val="auto"/>
                <w:sz w:val="24"/>
              </w:rPr>
            </w:pPr>
            <w:r>
              <w:rPr>
                <w:rFonts w:ascii="Times New Roman" w:eastAsia="宋体" w:hAnsi="宋体" w:cs="宋体" w:hint="eastAsia"/>
                <w:color w:val="auto"/>
                <w:sz w:val="24"/>
                <w:lang w:val="en-US" w:eastAsia="zh-CN"/>
              </w:rPr>
              <w:t>2007年荣获河北省优秀主持人称号；多次荣获河北省播音主持作品一等奖；获得全国城市电视台主持人</w:t>
            </w:r>
            <w:r>
              <w:rPr>
                <w:rFonts w:ascii="Times New Roman" w:eastAsia="宋体" w:hAnsi="宋体" w:cs="宋体" w:hint="eastAsia"/>
                <w:color w:val="auto"/>
                <w:sz w:val="24"/>
                <w:lang w:val="en-US" w:eastAsia="zh-CN"/>
              </w:rPr>
              <w:t>“</w:t>
            </w:r>
            <w:r>
              <w:rPr>
                <w:rFonts w:ascii="Times New Roman" w:eastAsia="宋体" w:hAnsi="宋体" w:cs="宋体" w:hint="eastAsia"/>
                <w:color w:val="auto"/>
                <w:sz w:val="24"/>
                <w:lang w:val="en-US" w:eastAsia="zh-CN"/>
              </w:rPr>
              <w:t>60年60人</w:t>
            </w:r>
            <w:r>
              <w:rPr>
                <w:rFonts w:ascii="Times New Roman" w:eastAsia="宋体" w:hAnsi="宋体" w:cs="宋体" w:hint="eastAsia"/>
                <w:color w:val="auto"/>
                <w:sz w:val="24"/>
                <w:lang w:val="en-US" w:eastAsia="zh-CN"/>
              </w:rPr>
              <w:t>”</w:t>
            </w:r>
            <w:r>
              <w:rPr>
                <w:rFonts w:ascii="Times New Roman" w:eastAsia="宋体" w:hAnsi="宋体" w:cs="宋体" w:hint="eastAsia"/>
                <w:color w:val="auto"/>
                <w:sz w:val="24"/>
                <w:lang w:val="en-US" w:eastAsia="zh-CN"/>
              </w:rPr>
              <w:t>荣誉和中华全国新闻工作者协会从事新闻工作三十年荣誉和纪念章</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spacing w:before="14" w:line="306" w:lineRule="exact"/>
              <w:ind w:left="239"/>
              <w:rPr>
                <w:rFonts w:ascii="宋体" w:eastAsia="宋体" w:hAnsi="宋体" w:cs="宋体"/>
                <w:sz w:val="24"/>
              </w:rPr>
            </w:pPr>
            <w:r>
              <w:rPr>
                <w:rFonts w:ascii="宋体" w:eastAsia="宋体" w:hAnsi="宋体" w:cs="宋体"/>
                <w:sz w:val="24"/>
              </w:rPr>
              <w:t>近三年获得教学研究经</w:t>
            </w:r>
          </w:p>
          <w:p>
            <w:pPr>
              <w:pStyle w:val="TableParagraph"/>
              <w:spacing w:before="14" w:line="306" w:lineRule="exact"/>
              <w:ind w:left="239"/>
              <w:rPr>
                <w:rFonts w:ascii="宋体" w:eastAsia="宋体" w:hAnsi="宋体" w:cs="宋体"/>
                <w:sz w:val="24"/>
              </w:rPr>
            </w:pPr>
            <w:r>
              <w:rPr>
                <w:rFonts w:ascii="宋体" w:eastAsia="宋体" w:hAnsi="宋体" w:cs="宋体"/>
                <w:sz w:val="24"/>
              </w:rPr>
              <w:t>费（万元）</w:t>
            </w:r>
          </w:p>
        </w:tc>
        <w:tc>
          <w:tcPr>
            <w:tcW w:w="2306" w:type="dxa"/>
            <w:gridSpan w:val="3"/>
            <w:vAlign w:val="center"/>
          </w:tcPr>
          <w:p>
            <w:pPr>
              <w:pStyle w:val="TableParagraph"/>
              <w:spacing w:before="14" w:line="306" w:lineRule="exact"/>
              <w:ind w:left="239"/>
              <w:jc w:val="center"/>
              <w:rPr>
                <w:rFonts w:ascii="宋体" w:eastAsia="宋体" w:hAnsi="宋体" w:cs="宋体" w:hint="default"/>
                <w:sz w:val="24"/>
                <w:lang w:val="en-US" w:eastAsia="zh-CN"/>
              </w:rPr>
            </w:pPr>
            <w:r>
              <w:rPr>
                <w:rFonts w:cs="宋体" w:hint="eastAsia"/>
                <w:sz w:val="24"/>
                <w:lang w:val="en-US" w:eastAsia="zh-CN"/>
              </w:rPr>
              <w:t>1</w:t>
            </w:r>
          </w:p>
        </w:tc>
        <w:tc>
          <w:tcPr>
            <w:tcW w:w="2305" w:type="dxa"/>
            <w:gridSpan w:val="2"/>
          </w:tcPr>
          <w:p>
            <w:pPr>
              <w:pStyle w:val="TableParagraph"/>
              <w:spacing w:before="14" w:line="306" w:lineRule="exact"/>
              <w:ind w:left="239"/>
              <w:rPr>
                <w:rFonts w:ascii="宋体" w:eastAsia="宋体" w:hAnsi="宋体" w:cs="宋体"/>
                <w:sz w:val="24"/>
              </w:rPr>
            </w:pPr>
            <w:r>
              <w:rPr>
                <w:rFonts w:ascii="宋体" w:eastAsia="宋体" w:hAnsi="宋体" w:cs="宋体"/>
                <w:sz w:val="24"/>
              </w:rPr>
              <w:t>近三年获得科学研</w:t>
            </w:r>
          </w:p>
          <w:p>
            <w:pPr>
              <w:pStyle w:val="TableParagraph"/>
              <w:spacing w:before="14" w:line="306" w:lineRule="exact"/>
              <w:ind w:left="239"/>
              <w:rPr>
                <w:rFonts w:ascii="宋体" w:eastAsia="宋体" w:hAnsi="宋体" w:cs="宋体"/>
                <w:sz w:val="24"/>
              </w:rPr>
            </w:pPr>
            <w:r>
              <w:rPr>
                <w:rFonts w:ascii="宋体" w:eastAsia="宋体" w:hAnsi="宋体" w:cs="宋体"/>
                <w:sz w:val="24"/>
              </w:rPr>
              <w:t>究经费（万元）</w:t>
            </w:r>
          </w:p>
        </w:tc>
        <w:tc>
          <w:tcPr>
            <w:tcW w:w="2310" w:type="dxa"/>
            <w:gridSpan w:val="3"/>
            <w:vAlign w:val="center"/>
          </w:tcPr>
          <w:p>
            <w:pPr>
              <w:pStyle w:val="TableParagraph"/>
              <w:spacing w:before="14" w:line="306" w:lineRule="exact"/>
              <w:ind w:left="239"/>
              <w:jc w:val="center"/>
              <w:rPr>
                <w:rFonts w:ascii="宋体" w:eastAsia="宋体" w:hAnsi="宋体" w:cs="宋体" w:hint="eastAsia"/>
                <w:sz w:val="24"/>
                <w:lang w:val="en-US" w:eastAsia="zh-CN"/>
              </w:rPr>
            </w:pPr>
            <w:r>
              <w:rPr>
                <w:rFonts w:cs="宋体" w:hint="eastAsia"/>
                <w:sz w:val="24"/>
                <w:lang w:val="en-US" w:eastAsia="zh-CN"/>
              </w:rPr>
              <w:t>2</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vAlign w:val="center"/>
          </w:tcPr>
          <w:p>
            <w:pPr>
              <w:pStyle w:val="TableParagraph"/>
              <w:spacing w:before="14" w:line="306" w:lineRule="exact"/>
              <w:ind w:left="239"/>
              <w:jc w:val="center"/>
              <w:rPr>
                <w:rFonts w:ascii="宋体" w:eastAsia="宋体" w:hAnsi="宋体" w:cs="宋体"/>
                <w:sz w:val="24"/>
              </w:rPr>
            </w:pPr>
            <w:r>
              <w:rPr>
                <w:rFonts w:ascii="宋体" w:eastAsia="宋体" w:hAnsi="宋体" w:cs="宋体"/>
                <w:sz w:val="24"/>
              </w:rPr>
              <w:t>近三年给本科生授课</w:t>
            </w:r>
          </w:p>
          <w:p>
            <w:pPr>
              <w:pStyle w:val="TableParagraph"/>
              <w:spacing w:before="14" w:line="306" w:lineRule="exact"/>
              <w:ind w:left="239"/>
              <w:jc w:val="center"/>
              <w:rPr>
                <w:rFonts w:ascii="宋体" w:eastAsia="宋体" w:hAnsi="宋体" w:cs="宋体"/>
                <w:sz w:val="24"/>
              </w:rPr>
            </w:pPr>
            <w:r>
              <w:rPr>
                <w:rFonts w:ascii="宋体" w:eastAsia="宋体" w:hAnsi="宋体" w:cs="宋体"/>
                <w:sz w:val="24"/>
              </w:rPr>
              <w:t>课程及学时数</w:t>
            </w:r>
          </w:p>
        </w:tc>
        <w:tc>
          <w:tcPr>
            <w:tcW w:w="2306" w:type="dxa"/>
            <w:gridSpan w:val="3"/>
          </w:tcPr>
          <w:p>
            <w:pPr>
              <w:pStyle w:val="TableParagraph"/>
              <w:spacing w:before="14" w:line="306" w:lineRule="exact"/>
              <w:rPr>
                <w:rFonts w:ascii="宋体" w:eastAsia="宋体" w:hAnsi="宋体" w:cs="宋体" w:hint="default"/>
                <w:sz w:val="24"/>
                <w:lang w:val="en-US" w:eastAsia="zh-CN"/>
              </w:rPr>
            </w:pPr>
            <w:r>
              <w:rPr>
                <w:rFonts w:ascii="宋体" w:eastAsia="宋体" w:hAnsi="宋体" w:cs="宋体" w:hint="eastAsia"/>
                <w:sz w:val="24"/>
                <w:lang w:val="en-US" w:eastAsia="zh-CN"/>
              </w:rPr>
              <w:t>授课《综艺娱乐节目主持概论》、《新闻节目播音主持》</w:t>
            </w:r>
            <w:r>
              <w:rPr>
                <w:rFonts w:cs="宋体" w:hint="eastAsia"/>
                <w:sz w:val="24"/>
                <w:lang w:val="en-US" w:eastAsia="zh-CN"/>
              </w:rPr>
              <w:t>、</w:t>
            </w:r>
            <w:r>
              <w:rPr>
                <w:rFonts w:ascii="宋体" w:eastAsia="宋体" w:hAnsi="宋体" w:cs="宋体" w:hint="eastAsia"/>
                <w:sz w:val="24"/>
                <w:lang w:val="en-US" w:eastAsia="zh-CN"/>
              </w:rPr>
              <w:t>《广播电视节目采访》、《综艺节目主持》、《普通话语音与播音发声》等课程学时388</w:t>
            </w:r>
          </w:p>
        </w:tc>
        <w:tc>
          <w:tcPr>
            <w:tcW w:w="2305" w:type="dxa"/>
            <w:gridSpan w:val="2"/>
            <w:vAlign w:val="center"/>
          </w:tcPr>
          <w:p>
            <w:pPr>
              <w:pStyle w:val="TableParagraph"/>
              <w:spacing w:before="14" w:line="306" w:lineRule="exact"/>
              <w:ind w:left="239"/>
              <w:jc w:val="center"/>
              <w:rPr>
                <w:rFonts w:ascii="宋体" w:eastAsia="宋体" w:hAnsi="宋体" w:cs="宋体"/>
                <w:sz w:val="24"/>
              </w:rPr>
            </w:pPr>
            <w:r>
              <w:rPr>
                <w:rFonts w:ascii="宋体" w:eastAsia="宋体" w:hAnsi="宋体" w:cs="宋体"/>
                <w:sz w:val="24"/>
              </w:rPr>
              <w:t>近三年指导本科毕</w:t>
            </w:r>
          </w:p>
          <w:p>
            <w:pPr>
              <w:pStyle w:val="TableParagraph"/>
              <w:spacing w:before="14" w:line="306" w:lineRule="exact"/>
              <w:ind w:left="239"/>
              <w:jc w:val="center"/>
              <w:rPr>
                <w:rFonts w:ascii="宋体" w:eastAsia="宋体" w:hAnsi="宋体" w:cs="宋体" w:hint="eastAsia"/>
                <w:sz w:val="24"/>
                <w:lang w:val="en-US" w:eastAsia="zh-CN"/>
              </w:rPr>
            </w:pPr>
            <w:r>
              <w:rPr>
                <w:rFonts w:ascii="宋体" w:eastAsia="宋体" w:hAnsi="宋体" w:cs="宋体"/>
                <w:sz w:val="24"/>
              </w:rPr>
              <w:t>业设计（人次）</w:t>
            </w:r>
          </w:p>
        </w:tc>
        <w:tc>
          <w:tcPr>
            <w:tcW w:w="2310" w:type="dxa"/>
            <w:gridSpan w:val="3"/>
            <w:vAlign w:val="center"/>
          </w:tcPr>
          <w:p>
            <w:pPr>
              <w:pStyle w:val="TableParagraph"/>
              <w:spacing w:before="14" w:line="306" w:lineRule="exact"/>
              <w:ind w:left="239"/>
              <w:jc w:val="center"/>
              <w:rPr>
                <w:rFonts w:ascii="宋体" w:eastAsia="宋体" w:hAnsi="宋体" w:cs="宋体" w:hint="eastAsia"/>
                <w:sz w:val="24"/>
                <w:lang w:val="en-US" w:eastAsia="zh-CN"/>
              </w:rPr>
            </w:pPr>
            <w:r>
              <w:rPr>
                <w:rFonts w:ascii="宋体" w:eastAsia="宋体" w:hAnsi="宋体" w:cs="宋体" w:hint="eastAsia"/>
                <w:sz w:val="24"/>
                <w:lang w:val="en-US" w:eastAsia="zh-CN"/>
              </w:rPr>
              <w:t>3</w:t>
            </w:r>
          </w:p>
        </w:tc>
      </w:tr>
    </w:tbl>
    <w:p>
      <w:pPr>
        <w:pStyle w:val="TableParagraph"/>
        <w:spacing w:before="14" w:line="306" w:lineRule="exact"/>
        <w:ind w:left="239"/>
        <w:rPr>
          <w:rFonts w:ascii="宋体" w:eastAsia="宋体" w:hAnsi="宋体" w:cs="宋体" w:hint="eastAsia"/>
          <w:sz w:val="24"/>
        </w:rPr>
      </w:pPr>
    </w:p>
    <w:p>
      <w:pPr>
        <w:rPr>
          <w:sz w:val="2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p>
      <w:pPr>
        <w:spacing w:before="4"/>
        <w:rPr>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
      <w:tblGrid>
        <w:gridCol w:w="960"/>
        <w:gridCol w:w="1438"/>
        <w:gridCol w:w="257"/>
        <w:gridCol w:w="989"/>
        <w:gridCol w:w="879"/>
        <w:gridCol w:w="438"/>
        <w:gridCol w:w="1282"/>
        <w:gridCol w:w="1023"/>
        <w:gridCol w:w="219"/>
        <w:gridCol w:w="1170"/>
        <w:gridCol w:w="921"/>
      </w:tblGrid>
      <w:tr>
        <w:tblPrEx>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000"/>
        </w:tblPrEx>
        <w:trPr>
          <w:trHeight w:val="340"/>
        </w:trPr>
        <w:tc>
          <w:tcPr>
            <w:tcW w:w="960" w:type="dxa"/>
          </w:tcPr>
          <w:p>
            <w:pPr>
              <w:pStyle w:val="TableParagraph"/>
              <w:spacing w:before="14" w:line="306" w:lineRule="exact"/>
              <w:ind w:left="239"/>
              <w:rPr>
                <w:sz w:val="24"/>
              </w:rPr>
            </w:pPr>
            <w:r>
              <w:rPr>
                <w:sz w:val="24"/>
              </w:rPr>
              <w:t>姓名</w:t>
            </w:r>
          </w:p>
        </w:tc>
        <w:tc>
          <w:tcPr>
            <w:tcW w:w="1438" w:type="dxa"/>
          </w:tcPr>
          <w:p>
            <w:pPr>
              <w:pStyle w:val="TableParagraph"/>
              <w:ind w:firstLine="240" w:firstLineChars="100"/>
              <w:rPr>
                <w:rFonts w:ascii="Times New Roman" w:eastAsia="宋体" w:hint="eastAsia"/>
                <w:sz w:val="24"/>
                <w:lang w:eastAsia="zh-CN"/>
              </w:rPr>
            </w:pPr>
            <w:r>
              <w:rPr>
                <w:rFonts w:ascii="Times New Roman" w:hint="eastAsia"/>
                <w:sz w:val="24"/>
                <w:lang w:eastAsia="zh-CN"/>
              </w:rPr>
              <w:t>尚学艳</w:t>
            </w:r>
          </w:p>
        </w:tc>
        <w:tc>
          <w:tcPr>
            <w:tcW w:w="1246" w:type="dxa"/>
            <w:gridSpan w:val="2"/>
          </w:tcPr>
          <w:p>
            <w:pPr>
              <w:pStyle w:val="TableParagraph"/>
              <w:spacing w:before="14" w:line="306" w:lineRule="exact"/>
              <w:ind w:left="381"/>
              <w:rPr>
                <w:sz w:val="24"/>
              </w:rPr>
            </w:pPr>
            <w:r>
              <w:rPr>
                <w:sz w:val="24"/>
              </w:rPr>
              <w:t>性别</w:t>
            </w:r>
          </w:p>
        </w:tc>
        <w:tc>
          <w:tcPr>
            <w:tcW w:w="879" w:type="dxa"/>
          </w:tcPr>
          <w:p>
            <w:pPr>
              <w:pStyle w:val="TableParagraph"/>
              <w:ind w:firstLine="240" w:firstLineChars="100"/>
              <w:rPr>
                <w:rFonts w:ascii="Times New Roman" w:eastAsia="宋体" w:hint="eastAsia"/>
                <w:sz w:val="24"/>
                <w:lang w:eastAsia="zh-CN"/>
              </w:rPr>
            </w:pPr>
            <w:r>
              <w:rPr>
                <w:rFonts w:ascii="Times New Roman" w:hint="eastAsia"/>
                <w:sz w:val="24"/>
                <w:lang w:eastAsia="zh-CN"/>
              </w:rPr>
              <w:t>女</w:t>
            </w:r>
          </w:p>
        </w:tc>
        <w:tc>
          <w:tcPr>
            <w:tcW w:w="1720" w:type="dxa"/>
            <w:gridSpan w:val="2"/>
          </w:tcPr>
          <w:p>
            <w:pPr>
              <w:pStyle w:val="TableParagraph"/>
              <w:spacing w:before="14" w:line="306" w:lineRule="exact"/>
              <w:ind w:left="138"/>
              <w:rPr>
                <w:sz w:val="24"/>
              </w:rPr>
            </w:pPr>
            <w:r>
              <w:rPr>
                <w:sz w:val="24"/>
              </w:rPr>
              <w:t>专业技术职务</w:t>
            </w:r>
          </w:p>
        </w:tc>
        <w:tc>
          <w:tcPr>
            <w:tcW w:w="1242" w:type="dxa"/>
            <w:gridSpan w:val="2"/>
          </w:tcPr>
          <w:p>
            <w:pPr>
              <w:pStyle w:val="TableParagraph"/>
              <w:ind w:left="240" w:hanging="240" w:hangingChars="100"/>
              <w:rPr>
                <w:rFonts w:ascii="Times New Roman" w:eastAsia="宋体" w:hint="default"/>
                <w:sz w:val="24"/>
                <w:lang w:val="en-US" w:eastAsia="zh-CN"/>
              </w:rPr>
            </w:pPr>
            <w:r>
              <w:rPr>
                <w:rFonts w:ascii="Times New Roman" w:hint="eastAsia"/>
                <w:sz w:val="24"/>
                <w:lang w:val="en-US" w:eastAsia="zh-CN"/>
              </w:rPr>
              <w:t>其他正高级</w:t>
            </w:r>
          </w:p>
        </w:tc>
        <w:tc>
          <w:tcPr>
            <w:tcW w:w="1170" w:type="dxa"/>
          </w:tcPr>
          <w:p>
            <w:pPr>
              <w:pStyle w:val="TableParagraph"/>
              <w:spacing w:before="14" w:line="306" w:lineRule="exact"/>
              <w:ind w:left="131"/>
              <w:rPr>
                <w:sz w:val="24"/>
              </w:rPr>
            </w:pPr>
            <w:r>
              <w:rPr>
                <w:sz w:val="24"/>
              </w:rPr>
              <w:t>行政职务</w:t>
            </w:r>
          </w:p>
        </w:tc>
        <w:tc>
          <w:tcPr>
            <w:tcW w:w="921" w:type="dxa"/>
          </w:tcPr>
          <w:p>
            <w:pPr>
              <w:pStyle w:val="TableParagraph"/>
              <w:rPr>
                <w:rFonts w:ascii="Times New Roman" w:eastAsia="宋体" w:hint="default"/>
                <w:sz w:val="24"/>
                <w:lang w:val="en-US" w:eastAsia="zh-CN"/>
              </w:rPr>
            </w:pPr>
            <w:r>
              <w:rPr>
                <w:rFonts w:ascii="Times New Roman" w:hint="eastAsia"/>
                <w:sz w:val="24"/>
                <w:lang w:eastAsia="zh-CN"/>
              </w:rPr>
              <w:t>副主任</w:t>
            </w:r>
          </w:p>
        </w:tc>
      </w:tr>
      <w:tr>
        <w:tblPrEx>
          <w:tblW w:w="0" w:type="auto"/>
          <w:tblInd w:w="116" w:type="dxa"/>
          <w:tblLayout w:type="fixed"/>
          <w:tblCellMar>
            <w:top w:w="0" w:type="dxa"/>
            <w:left w:w="0" w:type="dxa"/>
            <w:bottom w:w="0" w:type="dxa"/>
            <w:right w:w="0" w:type="dxa"/>
          </w:tblCellMar>
          <w:tblLook w:val="0000"/>
        </w:tblPrEx>
        <w:trPr>
          <w:trHeight w:val="623"/>
        </w:trPr>
        <w:tc>
          <w:tcPr>
            <w:tcW w:w="960" w:type="dxa"/>
          </w:tcPr>
          <w:p>
            <w:pPr>
              <w:pStyle w:val="TableParagraph"/>
              <w:spacing w:line="307" w:lineRule="exact"/>
              <w:ind w:left="99" w:right="90"/>
              <w:jc w:val="center"/>
              <w:rPr>
                <w:sz w:val="24"/>
              </w:rPr>
            </w:pPr>
            <w:r>
              <w:rPr>
                <w:sz w:val="24"/>
              </w:rPr>
              <w:t>拟承担</w:t>
            </w:r>
          </w:p>
          <w:p>
            <w:pPr>
              <w:pStyle w:val="TableParagraph"/>
              <w:spacing w:before="4" w:line="292" w:lineRule="exact"/>
              <w:ind w:left="99" w:right="90"/>
              <w:jc w:val="center"/>
              <w:rPr>
                <w:sz w:val="24"/>
              </w:rPr>
            </w:pPr>
            <w:r>
              <w:rPr>
                <w:sz w:val="24"/>
              </w:rPr>
              <w:t>课程</w:t>
            </w:r>
          </w:p>
        </w:tc>
        <w:tc>
          <w:tcPr>
            <w:tcW w:w="3563" w:type="dxa"/>
            <w:gridSpan w:val="4"/>
            <w:vAlign w:val="center"/>
          </w:tcPr>
          <w:p>
            <w:pPr>
              <w:pStyle w:val="TableParagraph"/>
              <w:jc w:val="center"/>
              <w:rPr>
                <w:rFonts w:ascii="Times New Roman" w:eastAsia="宋体" w:hint="eastAsia"/>
                <w:sz w:val="24"/>
                <w:lang w:eastAsia="zh-CN"/>
              </w:rPr>
            </w:pPr>
            <w:r>
              <w:rPr>
                <w:rFonts w:ascii="Times New Roman" w:hint="eastAsia"/>
                <w:sz w:val="24"/>
                <w:lang w:eastAsia="zh-CN"/>
              </w:rPr>
              <w:t>导演基础</w:t>
            </w:r>
          </w:p>
        </w:tc>
        <w:tc>
          <w:tcPr>
            <w:tcW w:w="1720" w:type="dxa"/>
            <w:gridSpan w:val="2"/>
            <w:vAlign w:val="center"/>
          </w:tcPr>
          <w:p>
            <w:pPr>
              <w:pStyle w:val="TableParagraph"/>
              <w:spacing w:before="155"/>
              <w:ind w:left="138"/>
              <w:jc w:val="center"/>
              <w:rPr>
                <w:sz w:val="24"/>
              </w:rPr>
            </w:pPr>
            <w:r>
              <w:rPr>
                <w:sz w:val="24"/>
              </w:rPr>
              <w:t>现在所在单位</w:t>
            </w:r>
          </w:p>
        </w:tc>
        <w:tc>
          <w:tcPr>
            <w:tcW w:w="3333" w:type="dxa"/>
            <w:gridSpan w:val="4"/>
            <w:vAlign w:val="center"/>
          </w:tcPr>
          <w:p>
            <w:pPr>
              <w:pStyle w:val="TableParagraph"/>
              <w:spacing w:line="240" w:lineRule="auto"/>
              <w:ind w:firstLine="720" w:firstLineChars="300"/>
              <w:jc w:val="both"/>
              <w:rPr>
                <w:rFonts w:ascii="Times New Roman" w:hint="eastAsia"/>
                <w:sz w:val="24"/>
                <w:lang w:eastAsia="zh-CN"/>
              </w:rPr>
            </w:pPr>
            <w:r>
              <w:rPr>
                <w:rFonts w:ascii="Times New Roman" w:hint="eastAsia"/>
                <w:sz w:val="24"/>
                <w:lang w:eastAsia="zh-CN"/>
              </w:rPr>
              <w:t>唐山广播电视台</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rPr>
                <w:rFonts w:ascii="Times New Roman"/>
                <w:sz w:val="24"/>
              </w:rPr>
            </w:pPr>
            <w:r>
              <w:rPr>
                <w:rFonts w:ascii="Times New Roman"/>
                <w:sz w:val="24"/>
              </w:rPr>
              <w:t>最后学历毕业时间、</w:t>
            </w:r>
          </w:p>
          <w:p>
            <w:pPr>
              <w:pStyle w:val="TableParagraph"/>
              <w:rPr>
                <w:rFonts w:ascii="Times New Roman"/>
                <w:sz w:val="24"/>
              </w:rPr>
            </w:pPr>
            <w:r>
              <w:rPr>
                <w:rFonts w:ascii="Times New Roman"/>
                <w:sz w:val="24"/>
              </w:rPr>
              <w:t>学校、专业</w:t>
            </w:r>
          </w:p>
        </w:tc>
        <w:tc>
          <w:tcPr>
            <w:tcW w:w="6921" w:type="dxa"/>
            <w:gridSpan w:val="8"/>
          </w:tcPr>
          <w:p>
            <w:pPr>
              <w:pStyle w:val="TableParagraph"/>
              <w:rPr>
                <w:rFonts w:ascii="Times New Roman" w:eastAsia="宋体" w:hint="default"/>
                <w:sz w:val="24"/>
                <w:lang w:val="en-US" w:eastAsia="zh-CN"/>
              </w:rPr>
            </w:pPr>
            <w:r>
              <w:rPr>
                <w:rFonts w:ascii="Times New Roman" w:hint="eastAsia"/>
                <w:sz w:val="24"/>
                <w:lang w:val="en-US" w:eastAsia="zh-CN"/>
              </w:rPr>
              <w:t>1997年6月毕业于天津音乐学院音乐教育专业</w:t>
            </w:r>
          </w:p>
        </w:tc>
      </w:tr>
      <w:tr>
        <w:tblPrEx>
          <w:tblW w:w="0" w:type="auto"/>
          <w:tblInd w:w="116" w:type="dxa"/>
          <w:tblLayout w:type="fixed"/>
          <w:tblCellMar>
            <w:top w:w="0" w:type="dxa"/>
            <w:left w:w="0" w:type="dxa"/>
            <w:bottom w:w="0" w:type="dxa"/>
            <w:right w:w="0" w:type="dxa"/>
          </w:tblCellMar>
          <w:tblLook w:val="0000"/>
        </w:tblPrEx>
        <w:trPr>
          <w:trHeight w:val="626"/>
        </w:trPr>
        <w:tc>
          <w:tcPr>
            <w:tcW w:w="2655" w:type="dxa"/>
            <w:gridSpan w:val="3"/>
          </w:tcPr>
          <w:p>
            <w:pPr>
              <w:pStyle w:val="TableParagraph"/>
              <w:spacing w:before="158"/>
              <w:ind w:left="606"/>
              <w:rPr>
                <w:sz w:val="24"/>
              </w:rPr>
            </w:pPr>
            <w:r>
              <w:rPr>
                <w:sz w:val="24"/>
              </w:rPr>
              <w:t>主要研究方向</w:t>
            </w:r>
          </w:p>
        </w:tc>
        <w:tc>
          <w:tcPr>
            <w:tcW w:w="6921" w:type="dxa"/>
            <w:gridSpan w:val="8"/>
          </w:tcPr>
          <w:p>
            <w:pPr>
              <w:pStyle w:val="TableParagraph"/>
              <w:rPr>
                <w:rFonts w:ascii="Times New Roman" w:eastAsia="宋体" w:hint="eastAsia"/>
                <w:sz w:val="24"/>
                <w:lang w:eastAsia="zh-CN"/>
              </w:rPr>
            </w:pPr>
            <w:r>
              <w:rPr>
                <w:rFonts w:ascii="Times New Roman" w:hint="eastAsia"/>
                <w:sz w:val="24"/>
                <w:lang w:eastAsia="zh-CN"/>
              </w:rPr>
              <w:t>电影电视编导</w:t>
            </w:r>
          </w:p>
        </w:tc>
      </w:tr>
      <w:tr>
        <w:tblPrEx>
          <w:tblW w:w="0" w:type="auto"/>
          <w:tblInd w:w="116" w:type="dxa"/>
          <w:tblLayout w:type="fixed"/>
          <w:tblCellMar>
            <w:top w:w="0" w:type="dxa"/>
            <w:left w:w="0" w:type="dxa"/>
            <w:bottom w:w="0" w:type="dxa"/>
            <w:right w:w="0" w:type="dxa"/>
          </w:tblCellMar>
          <w:tblLook w:val="0000"/>
        </w:tblPrEx>
        <w:trPr>
          <w:trHeight w:val="1248"/>
        </w:trPr>
        <w:tc>
          <w:tcPr>
            <w:tcW w:w="2655" w:type="dxa"/>
            <w:gridSpan w:val="3"/>
          </w:tcPr>
          <w:p>
            <w:pPr>
              <w:pStyle w:val="TableParagraph"/>
              <w:spacing w:line="244" w:lineRule="auto"/>
              <w:ind w:left="126" w:right="117"/>
              <w:jc w:val="both"/>
              <w:rPr>
                <w:sz w:val="24"/>
              </w:rPr>
            </w:pPr>
            <w:r>
              <w:rPr>
                <w:sz w:val="24"/>
              </w:rPr>
              <w:t>从事教育教学改革研究及获奖情况（含教改项目、研究论文、慕课、</w:t>
            </w:r>
          </w:p>
          <w:p>
            <w:pPr>
              <w:pStyle w:val="TableParagraph"/>
              <w:spacing w:line="287" w:lineRule="exact"/>
              <w:ind w:left="846"/>
              <w:rPr>
                <w:sz w:val="24"/>
              </w:rPr>
            </w:pPr>
            <w:r>
              <w:rPr>
                <w:sz w:val="24"/>
              </w:rPr>
              <w:t>教材等）</w:t>
            </w:r>
          </w:p>
        </w:tc>
        <w:tc>
          <w:tcPr>
            <w:tcW w:w="6921" w:type="dxa"/>
            <w:gridSpan w:val="8"/>
          </w:tcPr>
          <w:p>
            <w:pPr>
              <w:spacing w:line="270" w:lineRule="exact"/>
              <w:rPr>
                <w:rFonts w:ascii="Times New Roman" w:hint="eastAsia"/>
                <w:b w:val="0"/>
                <w:bCs w:val="0"/>
                <w:sz w:val="24"/>
              </w:rPr>
            </w:pPr>
            <w:r>
              <w:rPr>
                <w:rFonts w:ascii="Times New Roman" w:hint="eastAsia"/>
                <w:b w:val="0"/>
                <w:bCs w:val="0"/>
                <w:sz w:val="24"/>
              </w:rPr>
              <w:t>论文发表情况：</w:t>
            </w:r>
          </w:p>
          <w:p>
            <w:pPr>
              <w:spacing w:line="270" w:lineRule="exact"/>
              <w:rPr>
                <w:rFonts w:ascii="Times New Roman" w:eastAsia="宋体" w:hint="default"/>
                <w:b w:val="0"/>
                <w:bCs w:val="0"/>
                <w:sz w:val="24"/>
                <w:lang w:val="en-US" w:eastAsia="zh-CN"/>
              </w:rPr>
            </w:pPr>
            <w:r>
              <w:rPr>
                <w:rFonts w:ascii="Times New Roman" w:hint="eastAsia"/>
                <w:b w:val="0"/>
                <w:bCs w:val="0"/>
                <w:sz w:val="24"/>
                <w:lang w:val="en-US" w:eastAsia="zh-CN"/>
              </w:rPr>
              <w:t xml:space="preserve">  近年来，在《祖国》、《神州》等刊物上发表省级以上期刊10余篇，例如：</w:t>
            </w:r>
          </w:p>
          <w:p>
            <w:pPr>
              <w:pStyle w:val="TableParagraph"/>
              <w:numPr>
                <w:ilvl w:val="0"/>
                <w:numId w:val="2"/>
              </w:numPr>
              <w:tabs>
                <w:tab w:val="left" w:pos="312"/>
              </w:tabs>
              <w:ind w:leftChars="0"/>
              <w:jc w:val="both"/>
              <w:rPr>
                <w:rFonts w:cs="宋体" w:hint="eastAsia"/>
                <w:sz w:val="24"/>
                <w:szCs w:val="24"/>
                <w:lang w:val="en-US" w:eastAsia="zh-CN"/>
              </w:rPr>
            </w:pPr>
            <w:r>
              <w:rPr>
                <w:rFonts w:cs="宋体" w:hint="eastAsia"/>
                <w:sz w:val="24"/>
                <w:szCs w:val="24"/>
                <w:lang w:val="en-US" w:eastAsia="zh-CN"/>
              </w:rPr>
              <w:t xml:space="preserve">尚学艳.电视文艺节目的创新和发展模式探讨[J].神州,2013,{4}(16):232.  </w:t>
            </w:r>
          </w:p>
          <w:p>
            <w:pPr>
              <w:pStyle w:val="TableParagraph"/>
              <w:numPr>
                <w:ilvl w:val="0"/>
                <w:numId w:val="2"/>
              </w:numPr>
              <w:tabs>
                <w:tab w:val="left" w:pos="312"/>
              </w:tabs>
              <w:ind w:left="0" w:firstLine="0" w:leftChars="0" w:firstLineChars="0"/>
              <w:jc w:val="both"/>
              <w:rPr>
                <w:rFonts w:ascii="宋体" w:eastAsia="宋体" w:hAnsi="宋体" w:cs="宋体" w:hint="eastAsia"/>
                <w:kern w:val="0"/>
                <w:sz w:val="28"/>
                <w:szCs w:val="28"/>
                <w:lang w:val="en-US" w:eastAsia="zh-CN"/>
              </w:rPr>
            </w:pPr>
            <w:r>
              <w:rPr>
                <w:rFonts w:cs="宋体" w:hint="default"/>
                <w:sz w:val="24"/>
                <w:lang w:val="en-US" w:eastAsia="zh-CN"/>
              </w:rPr>
              <w:t>尚学艳.浅议中国电视戏曲节目发展现状及存在问题[J].神州,2013,{4}(14):232.</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ind w:left="606"/>
              <w:rPr>
                <w:sz w:val="24"/>
              </w:rPr>
            </w:pPr>
            <w:r>
              <w:rPr>
                <w:sz w:val="24"/>
              </w:rPr>
              <w:t>从事科学研究</w:t>
            </w:r>
          </w:p>
          <w:p>
            <w:pPr>
              <w:pStyle w:val="TableParagraph"/>
              <w:spacing w:before="4" w:line="292" w:lineRule="exact"/>
              <w:ind w:left="726"/>
              <w:rPr>
                <w:sz w:val="24"/>
              </w:rPr>
            </w:pPr>
            <w:r>
              <w:rPr>
                <w:sz w:val="24"/>
              </w:rPr>
              <w:t>及获奖情况</w:t>
            </w:r>
          </w:p>
        </w:tc>
        <w:tc>
          <w:tcPr>
            <w:tcW w:w="6921" w:type="dxa"/>
            <w:gridSpan w:val="8"/>
          </w:tcPr>
          <w:p>
            <w:pPr>
              <w:widowControl/>
              <w:jc w:val="left"/>
              <w:rPr>
                <w:rFonts w:cs="宋体" w:hint="eastAsia"/>
                <w:kern w:val="0"/>
                <w:sz w:val="24"/>
                <w:szCs w:val="24"/>
                <w:lang w:val="en-US" w:eastAsia="zh-CN"/>
              </w:rPr>
            </w:pPr>
            <w:r>
              <w:rPr>
                <w:rFonts w:cs="宋体" w:hint="eastAsia"/>
                <w:kern w:val="0"/>
                <w:sz w:val="24"/>
                <w:szCs w:val="24"/>
                <w:lang w:val="en-US" w:eastAsia="zh-CN"/>
              </w:rPr>
              <w:t>近年获奖情况</w:t>
            </w:r>
          </w:p>
          <w:p>
            <w:pPr>
              <w:widowControl/>
              <w:jc w:val="left"/>
              <w:rPr>
                <w:rFonts w:cs="宋体" w:hint="default"/>
                <w:kern w:val="0"/>
                <w:sz w:val="24"/>
                <w:szCs w:val="24"/>
                <w:lang w:val="en-US" w:eastAsia="zh-CN"/>
              </w:rPr>
            </w:pPr>
            <w:r>
              <w:rPr>
                <w:rFonts w:cs="宋体" w:hint="eastAsia"/>
                <w:kern w:val="0"/>
                <w:sz w:val="24"/>
                <w:szCs w:val="24"/>
                <w:lang w:val="en-US" w:eastAsia="zh-CN"/>
              </w:rPr>
              <w:t xml:space="preserve">    近年来，所创编、指导节目获奖数量众多，其中国家级奖项2项，省级奖项14项，地市级奖项若干。例如：</w:t>
            </w:r>
          </w:p>
          <w:p>
            <w:pPr>
              <w:widowControl/>
              <w:numPr>
                <w:ilvl w:val="0"/>
                <w:numId w:val="3"/>
              </w:numPr>
              <w:ind w:firstLine="480" w:firstLineChars="200"/>
              <w:jc w:val="left"/>
              <w:rPr>
                <w:rFonts w:ascii="宋体" w:hAnsi="宋体" w:cs="宋体" w:hint="eastAsia"/>
                <w:kern w:val="0"/>
                <w:sz w:val="24"/>
                <w:szCs w:val="24"/>
              </w:rPr>
            </w:pPr>
            <w:r>
              <w:rPr>
                <w:rFonts w:ascii="宋体" w:hAnsi="宋体" w:cs="宋体" w:hint="eastAsia"/>
                <w:kern w:val="0"/>
                <w:sz w:val="24"/>
                <w:szCs w:val="24"/>
              </w:rPr>
              <w:t>电视戏剧节目《人影》荣获第十八届全国电视文艺</w:t>
            </w:r>
            <w:r>
              <w:rPr>
                <w:rFonts w:ascii="宋体" w:hAnsi="宋体" w:cs="宋体" w:hint="eastAsia"/>
                <w:kern w:val="0"/>
                <w:sz w:val="24"/>
                <w:szCs w:val="24"/>
              </w:rPr>
              <w:t>“</w:t>
            </w:r>
            <w:r>
              <w:rPr>
                <w:rFonts w:ascii="宋体" w:hAnsi="宋体" w:cs="宋体" w:hint="eastAsia"/>
                <w:kern w:val="0"/>
                <w:sz w:val="24"/>
                <w:szCs w:val="24"/>
              </w:rPr>
              <w:t>星光奖</w:t>
            </w:r>
            <w:r>
              <w:rPr>
                <w:rFonts w:ascii="宋体" w:hAnsi="宋体" w:cs="宋体" w:hint="eastAsia"/>
                <w:kern w:val="0"/>
                <w:sz w:val="24"/>
                <w:szCs w:val="24"/>
              </w:rPr>
              <w:t>”</w:t>
            </w:r>
            <w:r>
              <w:rPr>
                <w:rFonts w:ascii="宋体" w:hAnsi="宋体" w:cs="宋体" w:hint="eastAsia"/>
                <w:kern w:val="0"/>
                <w:sz w:val="24"/>
                <w:szCs w:val="24"/>
              </w:rPr>
              <w:t>三等奖</w:t>
            </w:r>
          </w:p>
          <w:p>
            <w:pPr>
              <w:widowControl/>
              <w:numPr>
                <w:ilvl w:val="0"/>
                <w:numId w:val="3"/>
              </w:numPr>
              <w:ind w:firstLine="480" w:firstLineChars="200"/>
              <w:jc w:val="left"/>
              <w:rPr>
                <w:rFonts w:ascii="宋体" w:hAnsi="宋体" w:cs="宋体" w:hint="eastAsia"/>
                <w:bCs/>
                <w:kern w:val="0"/>
                <w:sz w:val="24"/>
                <w:szCs w:val="24"/>
              </w:rPr>
            </w:pPr>
            <w:r>
              <w:rPr>
                <w:rFonts w:ascii="宋体" w:hAnsi="宋体" w:cs="宋体" w:hint="eastAsia"/>
                <w:kern w:val="0"/>
                <w:sz w:val="24"/>
                <w:szCs w:val="24"/>
              </w:rPr>
              <w:t>新编评剧电视艺术片《刘姥姥》荣获中国广播电视协会2004年度电视节目</w:t>
            </w:r>
            <w:r>
              <w:rPr>
                <w:rFonts w:ascii="宋体" w:hAnsi="宋体" w:cs="宋体" w:hint="eastAsia"/>
                <w:kern w:val="0"/>
                <w:sz w:val="24"/>
                <w:szCs w:val="24"/>
              </w:rPr>
              <w:t>“</w:t>
            </w:r>
            <w:r>
              <w:rPr>
                <w:rFonts w:ascii="宋体" w:hAnsi="宋体" w:cs="宋体" w:hint="eastAsia"/>
                <w:kern w:val="0"/>
                <w:sz w:val="24"/>
                <w:szCs w:val="24"/>
              </w:rPr>
              <w:t>兰花奖</w:t>
            </w:r>
            <w:r>
              <w:rPr>
                <w:rFonts w:ascii="宋体" w:hAnsi="宋体" w:cs="宋体" w:hint="eastAsia"/>
                <w:kern w:val="0"/>
                <w:sz w:val="24"/>
                <w:szCs w:val="24"/>
              </w:rPr>
              <w:t>”</w:t>
            </w:r>
            <w:r>
              <w:rPr>
                <w:rFonts w:ascii="宋体" w:hAnsi="宋体" w:cs="宋体" w:hint="eastAsia"/>
                <w:kern w:val="0"/>
                <w:sz w:val="24"/>
                <w:szCs w:val="24"/>
              </w:rPr>
              <w:t>二等奖</w:t>
            </w:r>
          </w:p>
          <w:p>
            <w:pPr>
              <w:widowControl/>
              <w:numPr>
                <w:ilvl w:val="0"/>
                <w:numId w:val="3"/>
              </w:numPr>
              <w:ind w:firstLine="480" w:firstLineChars="200"/>
              <w:jc w:val="left"/>
              <w:rPr>
                <w:rFonts w:ascii="宋体" w:hAnsi="宋体" w:cs="宋体" w:hint="eastAsia"/>
                <w:bCs/>
                <w:kern w:val="0"/>
                <w:sz w:val="24"/>
                <w:szCs w:val="24"/>
              </w:rPr>
            </w:pPr>
            <w:r>
              <w:rPr>
                <w:rFonts w:ascii="宋体" w:hAnsi="宋体" w:cs="宋体" w:hint="eastAsia"/>
                <w:kern w:val="0"/>
                <w:sz w:val="24"/>
                <w:szCs w:val="24"/>
              </w:rPr>
              <w:t>抗击</w:t>
            </w:r>
            <w:r>
              <w:rPr>
                <w:rFonts w:ascii="宋体" w:hAnsi="宋体" w:cs="宋体" w:hint="eastAsia"/>
                <w:kern w:val="0"/>
                <w:sz w:val="24"/>
                <w:szCs w:val="24"/>
              </w:rPr>
              <w:t>“</w:t>
            </w:r>
            <w:r>
              <w:rPr>
                <w:rFonts w:ascii="宋体" w:hAnsi="宋体" w:cs="宋体" w:hint="eastAsia"/>
                <w:kern w:val="0"/>
                <w:sz w:val="24"/>
                <w:szCs w:val="24"/>
              </w:rPr>
              <w:t>非典</w:t>
            </w:r>
            <w:r>
              <w:rPr>
                <w:rFonts w:ascii="宋体" w:hAnsi="宋体" w:cs="宋体" w:hint="eastAsia"/>
                <w:kern w:val="0"/>
                <w:sz w:val="24"/>
                <w:szCs w:val="24"/>
              </w:rPr>
              <w:t>”</w:t>
            </w:r>
            <w:r>
              <w:rPr>
                <w:rFonts w:ascii="宋体" w:hAnsi="宋体" w:cs="宋体" w:hint="eastAsia"/>
                <w:kern w:val="0"/>
                <w:sz w:val="24"/>
                <w:szCs w:val="24"/>
              </w:rPr>
              <w:t>大型晚会《我们万众一心》获省广播电视文艺类一等奖</w:t>
            </w:r>
          </w:p>
          <w:p>
            <w:pPr>
              <w:widowControl/>
              <w:numPr>
                <w:ilvl w:val="0"/>
                <w:numId w:val="3"/>
              </w:numPr>
              <w:ind w:firstLine="480" w:firstLineChars="200"/>
              <w:jc w:val="left"/>
              <w:rPr>
                <w:rFonts w:ascii="宋体" w:hAnsi="宋体" w:cs="宋体" w:hint="eastAsia"/>
                <w:bCs/>
                <w:kern w:val="0"/>
                <w:sz w:val="24"/>
                <w:szCs w:val="24"/>
              </w:rPr>
            </w:pPr>
            <w:r>
              <w:rPr>
                <w:rFonts w:ascii="宋体" w:hAnsi="宋体" w:cs="宋体" w:hint="eastAsia"/>
                <w:kern w:val="0"/>
                <w:sz w:val="24"/>
                <w:szCs w:val="24"/>
              </w:rPr>
              <w:t>大型晚会《光辉的历程》获省广播电视文艺类二等奖；大型晚会《开创未来》获省广播电视文艺类二等奖</w:t>
            </w:r>
          </w:p>
          <w:p>
            <w:pPr>
              <w:pStyle w:val="TableParagraph"/>
              <w:rPr>
                <w:rFonts w:ascii="Times New Roman" w:eastAsia="宋体" w:hint="eastAsia"/>
                <w:sz w:val="24"/>
                <w:lang w:eastAsia="zh-CN"/>
              </w:rPr>
            </w:pP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spacing w:line="307" w:lineRule="exact"/>
              <w:ind w:left="107" w:right="98"/>
              <w:jc w:val="center"/>
              <w:rPr>
                <w:sz w:val="24"/>
              </w:rPr>
            </w:pPr>
            <w:r>
              <w:rPr>
                <w:sz w:val="24"/>
              </w:rPr>
              <w:t>近三年获得教学研究经</w:t>
            </w:r>
          </w:p>
          <w:p>
            <w:pPr>
              <w:pStyle w:val="TableParagraph"/>
              <w:spacing w:before="4" w:line="292" w:lineRule="exact"/>
              <w:ind w:left="106" w:right="98"/>
              <w:jc w:val="center"/>
              <w:rPr>
                <w:sz w:val="24"/>
              </w:rPr>
            </w:pPr>
            <w:r>
              <w:rPr>
                <w:sz w:val="24"/>
              </w:rPr>
              <w:t>费（万元）</w:t>
            </w:r>
          </w:p>
        </w:tc>
        <w:tc>
          <w:tcPr>
            <w:tcW w:w="2306" w:type="dxa"/>
            <w:gridSpan w:val="3"/>
            <w:vAlign w:val="center"/>
          </w:tcPr>
          <w:p>
            <w:pPr>
              <w:pStyle w:val="TableParagraph"/>
              <w:jc w:val="center"/>
              <w:rPr>
                <w:rFonts w:ascii="Times New Roman" w:eastAsia="宋体" w:hint="eastAsia"/>
                <w:sz w:val="24"/>
                <w:lang w:val="en-US" w:eastAsia="zh-CN"/>
              </w:rPr>
            </w:pPr>
            <w:r>
              <w:rPr>
                <w:rFonts w:ascii="Times New Roman" w:hint="eastAsia"/>
                <w:sz w:val="24"/>
                <w:lang w:val="en-US" w:eastAsia="zh-CN"/>
              </w:rPr>
              <w:t>1</w:t>
            </w:r>
          </w:p>
        </w:tc>
        <w:tc>
          <w:tcPr>
            <w:tcW w:w="2305" w:type="dxa"/>
            <w:gridSpan w:val="2"/>
          </w:tcPr>
          <w:p>
            <w:pPr>
              <w:pStyle w:val="TableParagraph"/>
              <w:spacing w:line="307" w:lineRule="exact"/>
              <w:ind w:left="106"/>
              <w:rPr>
                <w:sz w:val="24"/>
              </w:rPr>
            </w:pPr>
            <w:r>
              <w:rPr>
                <w:sz w:val="24"/>
              </w:rPr>
              <w:t>近三年获得科学研</w:t>
            </w:r>
          </w:p>
          <w:p>
            <w:pPr>
              <w:pStyle w:val="TableParagraph"/>
              <w:spacing w:before="4" w:line="292" w:lineRule="exact"/>
              <w:ind w:left="106"/>
              <w:rPr>
                <w:sz w:val="24"/>
              </w:rPr>
            </w:pPr>
            <w:r>
              <w:rPr>
                <w:sz w:val="24"/>
              </w:rPr>
              <w:t>究经费（万元）</w:t>
            </w:r>
          </w:p>
        </w:tc>
        <w:tc>
          <w:tcPr>
            <w:tcW w:w="2310" w:type="dxa"/>
            <w:gridSpan w:val="3"/>
            <w:vAlign w:val="center"/>
          </w:tcPr>
          <w:p>
            <w:pPr>
              <w:pStyle w:val="TableParagraph"/>
              <w:jc w:val="center"/>
              <w:rPr>
                <w:rFonts w:ascii="Times New Roman" w:eastAsia="宋体" w:hint="eastAsia"/>
                <w:sz w:val="24"/>
                <w:lang w:val="en-US" w:eastAsia="zh-CN"/>
              </w:rPr>
            </w:pPr>
            <w:r>
              <w:rPr>
                <w:rFonts w:ascii="Times New Roman" w:hint="eastAsia"/>
                <w:sz w:val="24"/>
                <w:lang w:val="en-US" w:eastAsia="zh-CN"/>
              </w:rPr>
              <w:t>4</w:t>
            </w:r>
          </w:p>
        </w:tc>
      </w:tr>
      <w:tr>
        <w:tblPrEx>
          <w:tblW w:w="0" w:type="auto"/>
          <w:tblInd w:w="116" w:type="dxa"/>
          <w:tblLayout w:type="fixed"/>
          <w:tblCellMar>
            <w:top w:w="0" w:type="dxa"/>
            <w:left w:w="0" w:type="dxa"/>
            <w:bottom w:w="0" w:type="dxa"/>
            <w:right w:w="0" w:type="dxa"/>
          </w:tblCellMar>
          <w:tblLook w:val="0000"/>
        </w:tblPrEx>
        <w:trPr>
          <w:trHeight w:val="623"/>
        </w:trPr>
        <w:tc>
          <w:tcPr>
            <w:tcW w:w="2655" w:type="dxa"/>
            <w:gridSpan w:val="3"/>
          </w:tcPr>
          <w:p>
            <w:pPr>
              <w:pStyle w:val="TableParagraph"/>
              <w:spacing w:line="307" w:lineRule="exact"/>
              <w:ind w:left="107" w:right="98"/>
              <w:jc w:val="center"/>
              <w:rPr>
                <w:sz w:val="24"/>
              </w:rPr>
            </w:pPr>
            <w:r>
              <w:rPr>
                <w:sz w:val="24"/>
              </w:rPr>
              <w:t>近三年给本科生授课</w:t>
            </w:r>
          </w:p>
          <w:p>
            <w:pPr>
              <w:pStyle w:val="TableParagraph"/>
              <w:spacing w:before="4" w:line="292" w:lineRule="exact"/>
              <w:ind w:left="106" w:right="98"/>
              <w:jc w:val="center"/>
              <w:rPr>
                <w:sz w:val="24"/>
              </w:rPr>
            </w:pPr>
            <w:r>
              <w:rPr>
                <w:sz w:val="24"/>
              </w:rPr>
              <w:t>课程及学时数</w:t>
            </w:r>
          </w:p>
        </w:tc>
        <w:tc>
          <w:tcPr>
            <w:tcW w:w="2306" w:type="dxa"/>
            <w:gridSpan w:val="3"/>
          </w:tcPr>
          <w:p>
            <w:pPr>
              <w:pStyle w:val="TableParagraph"/>
              <w:rPr>
                <w:rFonts w:ascii="Times New Roman" w:eastAsia="宋体" w:hint="default"/>
                <w:sz w:val="24"/>
                <w:lang w:val="en-US" w:eastAsia="zh-CN"/>
              </w:rPr>
            </w:pPr>
            <w:r>
              <w:rPr>
                <w:rFonts w:ascii="Times New Roman" w:hint="eastAsia"/>
                <w:sz w:val="24"/>
                <w:lang w:eastAsia="zh-CN"/>
              </w:rPr>
              <w:t>授课《导演基础》课程学时48</w:t>
            </w:r>
          </w:p>
        </w:tc>
        <w:tc>
          <w:tcPr>
            <w:tcW w:w="2305" w:type="dxa"/>
            <w:gridSpan w:val="2"/>
          </w:tcPr>
          <w:p>
            <w:pPr>
              <w:pStyle w:val="TableParagraph"/>
              <w:spacing w:line="307" w:lineRule="exact"/>
              <w:ind w:left="106"/>
              <w:rPr>
                <w:sz w:val="24"/>
              </w:rPr>
            </w:pPr>
            <w:r>
              <w:rPr>
                <w:sz w:val="24"/>
              </w:rPr>
              <w:t>近三年指导本科毕</w:t>
            </w:r>
          </w:p>
          <w:p>
            <w:pPr>
              <w:pStyle w:val="TableParagraph"/>
              <w:spacing w:before="4" w:line="292" w:lineRule="exact"/>
              <w:ind w:left="106"/>
              <w:rPr>
                <w:sz w:val="24"/>
              </w:rPr>
            </w:pPr>
            <w:r>
              <w:rPr>
                <w:sz w:val="24"/>
              </w:rPr>
              <w:t>业设计（人次）</w:t>
            </w:r>
          </w:p>
        </w:tc>
        <w:tc>
          <w:tcPr>
            <w:tcW w:w="2310" w:type="dxa"/>
            <w:gridSpan w:val="3"/>
            <w:vAlign w:val="center"/>
          </w:tcPr>
          <w:p>
            <w:pPr>
              <w:pStyle w:val="TableParagraph"/>
              <w:jc w:val="center"/>
              <w:rPr>
                <w:rFonts w:ascii="Times New Roman" w:eastAsia="宋体" w:hint="eastAsia"/>
                <w:sz w:val="24"/>
                <w:lang w:val="en-US" w:eastAsia="zh-CN"/>
              </w:rPr>
            </w:pPr>
            <w:r>
              <w:rPr>
                <w:rFonts w:ascii="Times New Roman" w:hint="eastAsia"/>
                <w:sz w:val="24"/>
                <w:lang w:val="en-US" w:eastAsia="zh-CN"/>
              </w:rPr>
              <w:t>7</w:t>
            </w:r>
          </w:p>
        </w:tc>
      </w:tr>
    </w:tbl>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rFonts w:ascii="黑体" w:eastAsia="黑体" w:hint="eastAsia"/>
          <w:sz w:val="36"/>
          <w:lang w:val="en-US" w:eastAsia="zh-CN"/>
        </w:rPr>
      </w:pPr>
    </w:p>
    <w:p>
      <w:pPr>
        <w:spacing w:before="4"/>
        <w:jc w:val="center"/>
        <w:rPr>
          <w:sz w:val="10"/>
        </w:rPr>
      </w:pPr>
      <w:r>
        <w:rPr>
          <w:rFonts w:ascii="黑体" w:eastAsia="黑体" w:hint="eastAsia"/>
          <w:sz w:val="36"/>
          <w:lang w:val="en-US" w:eastAsia="zh-CN"/>
        </w:rPr>
        <w:t>7.</w:t>
      </w:r>
      <w:r>
        <w:rPr>
          <w:rFonts w:ascii="黑体" w:eastAsia="黑体" w:hint="eastAsia"/>
          <w:sz w:val="36"/>
          <w:lang w:eastAsia="zh-CN"/>
        </w:rPr>
        <w:t>教学条件情况表</w:t>
      </w:r>
    </w:p>
    <w:p>
      <w:pPr>
        <w:spacing w:before="4"/>
        <w:rPr>
          <w:sz w:val="10"/>
        </w:rPr>
      </w:pPr>
    </w:p>
    <w:tbl>
      <w:tblPr>
        <w:tblStyle w:val="TableNormal"/>
        <w:tblpPr w:leftFromText="180" w:rightFromText="180" w:vertAnchor="text" w:horzAnchor="page" w:tblpX="1171" w:tblpY="41"/>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3102"/>
        <w:gridCol w:w="1683"/>
        <w:gridCol w:w="2696"/>
        <w:gridCol w:w="2093"/>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623"/>
          <w:jc w:val="center"/>
        </w:trPr>
        <w:tc>
          <w:tcPr>
            <w:tcW w:w="3102" w:type="dxa"/>
            <w:tcBorders>
              <w:right w:val="single" w:sz="6" w:space="0" w:color="000000"/>
            </w:tcBorders>
          </w:tcPr>
          <w:p>
            <w:pPr>
              <w:pStyle w:val="TableParagraph"/>
              <w:spacing w:line="307" w:lineRule="exact"/>
              <w:ind w:left="129"/>
              <w:jc w:val="center"/>
              <w:rPr>
                <w:sz w:val="24"/>
                <w:highlight w:val="none"/>
              </w:rPr>
            </w:pPr>
            <w:r>
              <w:rPr>
                <w:spacing w:val="-1"/>
                <w:sz w:val="24"/>
                <w:highlight w:val="none"/>
              </w:rPr>
              <w:t>可用于该专业的教学实</w:t>
            </w:r>
          </w:p>
          <w:p>
            <w:pPr>
              <w:pStyle w:val="TableParagraph"/>
              <w:spacing w:before="4" w:line="292" w:lineRule="exact"/>
              <w:ind w:left="129"/>
              <w:jc w:val="center"/>
              <w:rPr>
                <w:sz w:val="24"/>
                <w:highlight w:val="none"/>
              </w:rPr>
            </w:pPr>
            <w:r>
              <w:rPr>
                <w:spacing w:val="-1"/>
                <w:sz w:val="24"/>
                <w:highlight w:val="none"/>
              </w:rPr>
              <w:t>验设备总价值</w:t>
            </w:r>
            <w:r>
              <w:rPr>
                <w:sz w:val="24"/>
                <w:highlight w:val="none"/>
              </w:rPr>
              <w:t>（万元）</w:t>
            </w:r>
          </w:p>
        </w:tc>
        <w:tc>
          <w:tcPr>
            <w:tcW w:w="1683" w:type="dxa"/>
            <w:tcBorders>
              <w:left w:val="single" w:sz="6" w:space="0" w:color="000000"/>
            </w:tcBorders>
            <w:vAlign w:val="center"/>
          </w:tcPr>
          <w:p>
            <w:pPr>
              <w:pStyle w:val="TableParagraph"/>
              <w:jc w:val="center"/>
              <w:rPr>
                <w:rFonts w:ascii="Times New Roman" w:eastAsia="宋体" w:hint="default"/>
                <w:color w:val="auto"/>
                <w:sz w:val="24"/>
                <w:highlight w:val="none"/>
                <w:lang w:val="en-US" w:eastAsia="zh-CN"/>
              </w:rPr>
            </w:pPr>
            <w:r>
              <w:rPr>
                <w:rFonts w:ascii="Times New Roman" w:hint="eastAsia"/>
                <w:color w:val="auto"/>
                <w:sz w:val="24"/>
                <w:highlight w:val="none"/>
                <w:lang w:val="en-US" w:eastAsia="zh-CN"/>
              </w:rPr>
              <w:t>255</w:t>
            </w:r>
          </w:p>
        </w:tc>
        <w:tc>
          <w:tcPr>
            <w:tcW w:w="2696" w:type="dxa"/>
          </w:tcPr>
          <w:p>
            <w:pPr>
              <w:pStyle w:val="TableParagraph"/>
              <w:spacing w:line="307" w:lineRule="exact"/>
              <w:ind w:left="145"/>
              <w:jc w:val="center"/>
              <w:rPr>
                <w:color w:val="auto"/>
                <w:sz w:val="24"/>
              </w:rPr>
            </w:pPr>
            <w:r>
              <w:rPr>
                <w:color w:val="auto"/>
                <w:sz w:val="24"/>
              </w:rPr>
              <w:t>可用于该专业的教学实</w:t>
            </w:r>
          </w:p>
          <w:p>
            <w:pPr>
              <w:pStyle w:val="TableParagraph"/>
              <w:spacing w:before="4" w:line="292" w:lineRule="exact"/>
              <w:ind w:left="106" w:right="-29"/>
              <w:jc w:val="center"/>
              <w:rPr>
                <w:color w:val="auto"/>
                <w:sz w:val="24"/>
              </w:rPr>
            </w:pPr>
            <w:r>
              <w:rPr>
                <w:color w:val="auto"/>
                <w:spacing w:val="-9"/>
                <w:sz w:val="24"/>
              </w:rPr>
              <w:t>验设备数量</w:t>
            </w:r>
            <w:r>
              <w:rPr>
                <w:color w:val="auto"/>
                <w:sz w:val="24"/>
              </w:rPr>
              <w:t>（千元以上）</w:t>
            </w:r>
          </w:p>
        </w:tc>
        <w:tc>
          <w:tcPr>
            <w:tcW w:w="2093" w:type="dxa"/>
            <w:vAlign w:val="center"/>
          </w:tcPr>
          <w:p>
            <w:pPr>
              <w:pStyle w:val="TableParagraph"/>
              <w:jc w:val="center"/>
              <w:rPr>
                <w:rFonts w:ascii="Times New Roman" w:eastAsia="宋体" w:hint="default"/>
                <w:color w:val="auto"/>
                <w:sz w:val="24"/>
                <w:lang w:val="en-US" w:eastAsia="zh-CN"/>
              </w:rPr>
            </w:pPr>
            <w:r>
              <w:rPr>
                <w:rFonts w:ascii="Times New Roman" w:hint="eastAsia"/>
                <w:color w:val="auto"/>
                <w:sz w:val="24"/>
                <w:lang w:val="en-US" w:eastAsia="zh-CN"/>
              </w:rPr>
              <w:t>160（台/件）</w:t>
            </w:r>
          </w:p>
        </w:tc>
      </w:tr>
      <w:tr>
        <w:tblPrEx>
          <w:tblW w:w="0" w:type="auto"/>
          <w:jc w:val="center"/>
          <w:tblInd w:w="0" w:type="dxa"/>
          <w:tblLayout w:type="fixed"/>
          <w:tblCellMar>
            <w:top w:w="0" w:type="dxa"/>
            <w:left w:w="0" w:type="dxa"/>
            <w:bottom w:w="0" w:type="dxa"/>
            <w:right w:w="0" w:type="dxa"/>
          </w:tblCellMar>
          <w:tblLook w:val="0000"/>
        </w:tblPrEx>
        <w:trPr>
          <w:trHeight w:val="467"/>
          <w:jc w:val="center"/>
        </w:trPr>
        <w:tc>
          <w:tcPr>
            <w:tcW w:w="3102" w:type="dxa"/>
            <w:tcBorders>
              <w:right w:val="single" w:sz="6" w:space="0" w:color="000000"/>
            </w:tcBorders>
          </w:tcPr>
          <w:p>
            <w:pPr>
              <w:pStyle w:val="TableParagraph"/>
              <w:jc w:val="center"/>
              <w:rPr>
                <w:rFonts w:ascii="Times New Roman"/>
                <w:sz w:val="24"/>
                <w:lang w:val="en-US"/>
              </w:rPr>
            </w:pPr>
            <w:r>
              <w:rPr>
                <w:rFonts w:ascii="Times New Roman" w:hint="eastAsia"/>
                <w:sz w:val="24"/>
                <w:lang w:val="en-US"/>
              </w:rPr>
              <w:t>开办经费及来源500字</w:t>
            </w:r>
          </w:p>
        </w:tc>
        <w:tc>
          <w:tcPr>
            <w:tcW w:w="6472" w:type="dxa"/>
            <w:gridSpan w:val="3"/>
            <w:tcBorders>
              <w:left w:val="single" w:sz="6" w:space="0" w:color="000000"/>
            </w:tcBorders>
            <w:vAlign w:val="center"/>
          </w:tcPr>
          <w:p>
            <w:pPr>
              <w:pStyle w:val="TableParagraph"/>
              <w:jc w:val="center"/>
              <w:rPr>
                <w:rFonts w:ascii="Times New Roman" w:eastAsia="宋体" w:hint="eastAsia"/>
                <w:color w:val="auto"/>
                <w:sz w:val="24"/>
                <w:lang w:val="en-US" w:eastAsia="zh-CN"/>
              </w:rPr>
            </w:pPr>
            <w:r>
              <w:rPr>
                <w:rFonts w:ascii="Times New Roman" w:hint="eastAsia"/>
                <w:color w:val="auto"/>
                <w:sz w:val="24"/>
                <w:lang w:val="en-US" w:eastAsia="zh-CN"/>
              </w:rPr>
              <w:t>本专业开办经费 500万元，主要由保定贺阳教育集团投资</w:t>
            </w:r>
          </w:p>
        </w:tc>
      </w:tr>
      <w:tr>
        <w:tblPrEx>
          <w:tblW w:w="0" w:type="auto"/>
          <w:jc w:val="center"/>
          <w:tblInd w:w="0" w:type="dxa"/>
          <w:tblLayout w:type="fixed"/>
          <w:tblCellMar>
            <w:top w:w="0" w:type="dxa"/>
            <w:left w:w="0" w:type="dxa"/>
            <w:bottom w:w="0" w:type="dxa"/>
            <w:right w:w="0" w:type="dxa"/>
          </w:tblCellMar>
          <w:tblLook w:val="0000"/>
        </w:tblPrEx>
        <w:trPr>
          <w:trHeight w:val="623"/>
          <w:jc w:val="center"/>
        </w:trPr>
        <w:tc>
          <w:tcPr>
            <w:tcW w:w="3102" w:type="dxa"/>
            <w:tcBorders>
              <w:right w:val="single" w:sz="6" w:space="0" w:color="000000"/>
            </w:tcBorders>
          </w:tcPr>
          <w:p>
            <w:pPr>
              <w:pStyle w:val="TableParagraph"/>
              <w:jc w:val="center"/>
              <w:rPr>
                <w:rFonts w:ascii="Times New Roman" w:hint="eastAsia"/>
                <w:sz w:val="24"/>
                <w:highlight w:val="none"/>
                <w:lang w:val="en-US"/>
              </w:rPr>
            </w:pPr>
            <w:r>
              <w:rPr>
                <w:rFonts w:ascii="Times New Roman" w:hint="eastAsia"/>
                <w:sz w:val="24"/>
                <w:highlight w:val="none"/>
                <w:lang w:val="en-US"/>
              </w:rPr>
              <w:t>生均年教学日常支出</w:t>
            </w:r>
          </w:p>
          <w:p>
            <w:pPr>
              <w:pStyle w:val="TableParagraph"/>
              <w:jc w:val="center"/>
              <w:rPr>
                <w:rFonts w:ascii="Times New Roman" w:hint="eastAsia"/>
                <w:sz w:val="24"/>
                <w:highlight w:val="none"/>
                <w:lang w:val="en-US"/>
              </w:rPr>
            </w:pPr>
            <w:r>
              <w:rPr>
                <w:rFonts w:ascii="Times New Roman" w:hint="eastAsia"/>
                <w:sz w:val="24"/>
                <w:highlight w:val="none"/>
                <w:lang w:val="en-US"/>
              </w:rPr>
              <w:t>（元）</w:t>
            </w:r>
          </w:p>
        </w:tc>
        <w:tc>
          <w:tcPr>
            <w:tcW w:w="6472" w:type="dxa"/>
            <w:gridSpan w:val="3"/>
            <w:tcBorders>
              <w:left w:val="single" w:sz="6" w:space="0" w:color="000000"/>
            </w:tcBorders>
            <w:vAlign w:val="center"/>
          </w:tcPr>
          <w:p>
            <w:pPr>
              <w:pStyle w:val="TableParagraph"/>
              <w:jc w:val="center"/>
              <w:rPr>
                <w:rFonts w:ascii="Times New Roman" w:eastAsia="宋体" w:hint="default"/>
                <w:color w:val="auto"/>
                <w:sz w:val="24"/>
                <w:highlight w:val="none"/>
                <w:lang w:val="en-US" w:eastAsia="zh-CN"/>
              </w:rPr>
            </w:pPr>
            <w:r>
              <w:rPr>
                <w:rFonts w:ascii="Times New Roman" w:hint="eastAsia"/>
                <w:color w:val="auto"/>
                <w:sz w:val="24"/>
                <w:highlight w:val="none"/>
                <w:lang w:val="en-US" w:eastAsia="zh-CN"/>
              </w:rPr>
              <w:t>1776.26元</w:t>
            </w:r>
          </w:p>
        </w:tc>
      </w:tr>
      <w:tr>
        <w:tblPrEx>
          <w:tblW w:w="0" w:type="auto"/>
          <w:jc w:val="center"/>
          <w:tblInd w:w="0" w:type="dxa"/>
          <w:tblLayout w:type="fixed"/>
          <w:tblCellMar>
            <w:top w:w="0" w:type="dxa"/>
            <w:left w:w="0" w:type="dxa"/>
            <w:bottom w:w="0" w:type="dxa"/>
            <w:right w:w="0" w:type="dxa"/>
          </w:tblCellMar>
          <w:tblLook w:val="0000"/>
        </w:tblPrEx>
        <w:trPr>
          <w:trHeight w:val="623"/>
          <w:jc w:val="center"/>
        </w:trPr>
        <w:tc>
          <w:tcPr>
            <w:tcW w:w="3102" w:type="dxa"/>
            <w:tcBorders>
              <w:right w:val="single" w:sz="6" w:space="0" w:color="000000"/>
            </w:tcBorders>
          </w:tcPr>
          <w:p>
            <w:pPr>
              <w:pStyle w:val="TableParagraph"/>
              <w:jc w:val="center"/>
              <w:rPr>
                <w:rFonts w:ascii="Times New Roman" w:hint="eastAsia"/>
                <w:sz w:val="24"/>
                <w:lang w:val="en-US"/>
              </w:rPr>
            </w:pPr>
            <w:r>
              <w:rPr>
                <w:rFonts w:ascii="Times New Roman" w:hint="eastAsia"/>
                <w:sz w:val="24"/>
                <w:lang w:val="en-US"/>
              </w:rPr>
              <w:t>实践教学基地（个）</w:t>
            </w:r>
          </w:p>
          <w:p>
            <w:pPr>
              <w:pStyle w:val="TableParagraph"/>
              <w:jc w:val="center"/>
              <w:rPr>
                <w:rFonts w:ascii="Times New Roman" w:hint="eastAsia"/>
                <w:sz w:val="24"/>
                <w:lang w:val="en-US"/>
              </w:rPr>
            </w:pPr>
            <w:r>
              <w:rPr>
                <w:rFonts w:ascii="Times New Roman" w:hint="eastAsia"/>
                <w:sz w:val="24"/>
                <w:lang w:val="en-US"/>
              </w:rPr>
              <w:t>（请上传合作协议等）</w:t>
            </w:r>
          </w:p>
        </w:tc>
        <w:tc>
          <w:tcPr>
            <w:tcW w:w="6472" w:type="dxa"/>
            <w:gridSpan w:val="3"/>
            <w:tcBorders>
              <w:left w:val="single" w:sz="6" w:space="0" w:color="000000"/>
            </w:tcBorders>
            <w:vAlign w:val="center"/>
          </w:tcPr>
          <w:p>
            <w:pPr>
              <w:pStyle w:val="TableParagraph"/>
              <w:jc w:val="center"/>
              <w:rPr>
                <w:rFonts w:ascii="Times New Roman" w:eastAsia="宋体" w:hint="default"/>
                <w:color w:val="auto"/>
                <w:sz w:val="24"/>
                <w:lang w:val="en-US" w:eastAsia="zh-CN"/>
              </w:rPr>
            </w:pPr>
            <w:r>
              <w:rPr>
                <w:rFonts w:ascii="Times New Roman" w:hint="eastAsia"/>
                <w:color w:val="auto"/>
                <w:sz w:val="24"/>
                <w:lang w:val="en-US" w:eastAsia="zh-CN"/>
              </w:rPr>
              <w:t>5</w:t>
            </w:r>
          </w:p>
        </w:tc>
      </w:tr>
      <w:tr>
        <w:tblPrEx>
          <w:tblW w:w="0" w:type="auto"/>
          <w:jc w:val="center"/>
          <w:tblInd w:w="0" w:type="dxa"/>
          <w:tblLayout w:type="fixed"/>
          <w:tblCellMar>
            <w:top w:w="0" w:type="dxa"/>
            <w:left w:w="0" w:type="dxa"/>
            <w:bottom w:w="0" w:type="dxa"/>
            <w:right w:w="0" w:type="dxa"/>
          </w:tblCellMar>
          <w:tblLook w:val="0000"/>
        </w:tblPrEx>
        <w:trPr>
          <w:trHeight w:val="625"/>
          <w:jc w:val="center"/>
        </w:trPr>
        <w:tc>
          <w:tcPr>
            <w:tcW w:w="3102" w:type="dxa"/>
            <w:tcBorders>
              <w:right w:val="single" w:sz="6" w:space="0" w:color="000000"/>
            </w:tcBorders>
            <w:vAlign w:val="center"/>
          </w:tcPr>
          <w:p>
            <w:pPr>
              <w:pStyle w:val="TableParagraph"/>
              <w:spacing w:line="307" w:lineRule="exact"/>
              <w:ind w:left="109" w:right="98"/>
              <w:jc w:val="center"/>
              <w:rPr>
                <w:sz w:val="24"/>
              </w:rPr>
            </w:pPr>
            <w:r>
              <w:rPr>
                <w:sz w:val="24"/>
              </w:rPr>
              <w:t>教学条件建设规划</w:t>
            </w:r>
          </w:p>
          <w:p>
            <w:pPr>
              <w:pStyle w:val="TableParagraph"/>
              <w:spacing w:before="4" w:line="294" w:lineRule="exact"/>
              <w:ind w:left="109" w:right="98"/>
              <w:jc w:val="center"/>
              <w:rPr>
                <w:rFonts w:hint="eastAsia"/>
                <w:sz w:val="24"/>
              </w:rPr>
            </w:pPr>
            <w:r>
              <w:rPr>
                <w:sz w:val="24"/>
              </w:rPr>
              <w:t>及保障措施</w:t>
            </w:r>
          </w:p>
          <w:p>
            <w:pPr>
              <w:pStyle w:val="TableParagraph"/>
              <w:spacing w:before="4" w:line="294" w:lineRule="exact"/>
              <w:ind w:right="98"/>
              <w:jc w:val="center"/>
              <w:rPr>
                <w:rFonts w:hint="eastAsia"/>
                <w:sz w:val="24"/>
              </w:rPr>
            </w:pPr>
          </w:p>
        </w:tc>
        <w:tc>
          <w:tcPr>
            <w:tcW w:w="6472" w:type="dxa"/>
            <w:gridSpan w:val="3"/>
            <w:tcBorders>
              <w:left w:val="single" w:sz="6" w:space="0" w:color="000000"/>
            </w:tcBorders>
          </w:tcPr>
          <w:p>
            <w:pPr>
              <w:numPr>
                <w:ilvl w:val="0"/>
                <w:numId w:val="0"/>
              </w:numPr>
              <w:spacing w:line="360" w:lineRule="auto"/>
              <w:ind w:firstLine="480" w:firstLineChars="200"/>
              <w:rPr>
                <w:rFonts w:ascii="Times New Roman" w:eastAsia="宋体" w:hAnsi="宋体" w:cs="宋体" w:hint="default"/>
                <w:color w:val="000000"/>
                <w:sz w:val="24"/>
                <w:szCs w:val="22"/>
                <w:highlight w:val="none"/>
                <w:lang w:val="en-US" w:eastAsia="zh-CN" w:bidi="zh-CN"/>
              </w:rPr>
            </w:pPr>
            <w:r>
              <w:rPr>
                <w:rFonts w:ascii="Times New Roman" w:eastAsia="宋体" w:hAnsi="宋体" w:cs="宋体" w:hint="eastAsia"/>
                <w:color w:val="000000"/>
                <w:sz w:val="24"/>
                <w:szCs w:val="22"/>
                <w:highlight w:val="none"/>
                <w:lang w:val="en-US" w:eastAsia="zh-CN" w:bidi="zh-CN"/>
              </w:rPr>
              <w:t>河北科技学院</w:t>
            </w:r>
            <w:r>
              <w:rPr>
                <w:rFonts w:ascii="Times New Roman" w:eastAsia="宋体" w:hAnsi="宋体" w:cs="宋体" w:hint="default"/>
                <w:color w:val="000000"/>
                <w:sz w:val="24"/>
                <w:szCs w:val="22"/>
                <w:highlight w:val="none"/>
                <w:lang w:val="en-US" w:eastAsia="zh-CN" w:bidi="zh-CN"/>
              </w:rPr>
              <w:t>艺术学院现有基础实验室和专业实验室。基础实验室包括摄影摄像实验室、画室、非线编实验室、录音棚、虚拟演播厅、</w:t>
            </w:r>
            <w:r>
              <w:rPr>
                <w:rFonts w:ascii="Times New Roman" w:eastAsia="宋体" w:hAnsi="宋体" w:cs="宋体" w:hint="eastAsia"/>
                <w:color w:val="000000"/>
                <w:sz w:val="24"/>
                <w:szCs w:val="22"/>
                <w:highlight w:val="none"/>
                <w:lang w:val="en-US" w:eastAsia="zh-CN" w:bidi="zh-CN"/>
              </w:rPr>
              <w:t>专业汇报厅、舞蹈实验室、钢琴实验室、</w:t>
            </w:r>
            <w:r>
              <w:rPr>
                <w:rFonts w:ascii="Times New Roman" w:eastAsia="宋体" w:hAnsi="宋体" w:cs="宋体" w:hint="default"/>
                <w:color w:val="000000"/>
                <w:sz w:val="24"/>
                <w:szCs w:val="22"/>
                <w:highlight w:val="none"/>
                <w:lang w:val="en-US" w:eastAsia="zh-CN" w:bidi="zh-CN"/>
              </w:rPr>
              <w:t>计算机辅助设计实验室、图像数字输出实验室、展厅等。学校非常重视本专业实验教学环境的建设，不断增加教学科研实验设备的投入。</w:t>
            </w:r>
          </w:p>
          <w:p>
            <w:pPr>
              <w:numPr>
                <w:ilvl w:val="0"/>
                <w:numId w:val="0"/>
              </w:numPr>
              <w:spacing w:line="360" w:lineRule="auto"/>
              <w:rPr>
                <w:rFonts w:ascii="Times New Roman" w:eastAsia="宋体" w:hAnsi="宋体" w:cs="宋体" w:hint="default"/>
                <w:color w:val="000000"/>
                <w:sz w:val="24"/>
                <w:szCs w:val="22"/>
                <w:highlight w:val="none"/>
                <w:lang w:val="en-US" w:eastAsia="zh-CN" w:bidi="zh-CN"/>
              </w:rPr>
            </w:pPr>
            <w:r>
              <w:rPr>
                <w:rFonts w:ascii="Times New Roman" w:eastAsia="宋体" w:hAnsi="宋体" w:cs="宋体" w:hint="default"/>
                <w:color w:val="000000"/>
                <w:sz w:val="24"/>
                <w:szCs w:val="22"/>
                <w:highlight w:val="none"/>
                <w:lang w:val="en-US" w:eastAsia="zh-CN" w:bidi="zh-CN"/>
              </w:rPr>
              <w:t xml:space="preserve">    各类功能的教学实验室基本配备完善，通过多渠道筹措资金购置先进设备，提高利用率，加强管理，实验室在本科人才培养中已发挥较好作用；本专业校内外实习基地能基本满足</w:t>
            </w:r>
            <w:r>
              <w:rPr>
                <w:rFonts w:ascii="Times New Roman" w:eastAsia="宋体" w:hAnsi="宋体" w:cs="宋体" w:hint="eastAsia"/>
                <w:color w:val="000000"/>
                <w:sz w:val="24"/>
                <w:szCs w:val="22"/>
                <w:highlight w:val="none"/>
                <w:lang w:val="en-US" w:eastAsia="zh-CN" w:bidi="zh-CN"/>
              </w:rPr>
              <w:t>基础教学和</w:t>
            </w:r>
            <w:r>
              <w:rPr>
                <w:rFonts w:ascii="Times New Roman" w:eastAsia="宋体" w:hAnsi="宋体" w:cs="宋体" w:hint="default"/>
                <w:color w:val="000000"/>
                <w:sz w:val="24"/>
                <w:szCs w:val="22"/>
                <w:highlight w:val="none"/>
                <w:lang w:val="en-US" w:eastAsia="zh-CN" w:bidi="zh-CN"/>
              </w:rPr>
              <w:t>实践教学要求。</w:t>
            </w:r>
          </w:p>
          <w:p>
            <w:pPr>
              <w:spacing w:line="240" w:lineRule="auto"/>
              <w:jc w:val="both"/>
              <w:rPr>
                <w:rFonts w:ascii="Times New Roman"/>
                <w:sz w:val="24"/>
              </w:rPr>
            </w:pPr>
          </w:p>
        </w:tc>
      </w:tr>
    </w:tbl>
    <w:p>
      <w:pPr>
        <w:spacing w:before="4"/>
        <w:rPr>
          <w:sz w:val="10"/>
        </w:rPr>
      </w:pPr>
    </w:p>
    <w:p>
      <w:pPr>
        <w:spacing w:before="4"/>
        <w:rPr>
          <w:sz w:val="10"/>
        </w:rPr>
      </w:pPr>
    </w:p>
    <w:p>
      <w:pPr>
        <w:spacing w:before="4"/>
        <w:rPr>
          <w:sz w:val="10"/>
        </w:rPr>
      </w:pPr>
    </w:p>
    <w:p>
      <w:pPr>
        <w:spacing w:after="54" w:line="511" w:lineRule="exact"/>
        <w:ind w:left="911" w:right="1167"/>
        <w:jc w:val="center"/>
        <w:rPr>
          <w:rFonts w:ascii="Microsoft JhengHei" w:eastAsia="Microsoft JhengHei" w:hint="eastAsia"/>
          <w:b/>
          <w:sz w:val="30"/>
        </w:rPr>
      </w:pPr>
      <w:r>
        <w:rPr>
          <w:rFonts w:ascii="Microsoft JhengHei" w:eastAsia="Microsoft JhengHei" w:hint="eastAsia"/>
          <w:b/>
          <w:sz w:val="30"/>
        </w:rPr>
        <w:t>主要教学实验设备情况表</w:t>
      </w:r>
    </w:p>
    <w:tbl>
      <w:tblPr>
        <w:tblStyle w:val="TableNormal"/>
        <w:tblW w:w="0" w:type="auto"/>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2237"/>
        <w:gridCol w:w="2101"/>
        <w:gridCol w:w="1669"/>
        <w:gridCol w:w="1550"/>
        <w:gridCol w:w="2250"/>
      </w:tblGrid>
      <w:tr>
        <w:tblPrEx>
          <w:tblW w:w="0" w:type="auto"/>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467"/>
          <w:jc w:val="center"/>
        </w:trPr>
        <w:tc>
          <w:tcPr>
            <w:tcW w:w="2237" w:type="dxa"/>
          </w:tcPr>
          <w:p>
            <w:pPr>
              <w:pStyle w:val="TableParagraph"/>
              <w:spacing w:before="79"/>
              <w:ind w:left="158"/>
              <w:rPr>
                <w:sz w:val="24"/>
              </w:rPr>
            </w:pPr>
            <w:r>
              <w:rPr>
                <w:sz w:val="24"/>
              </w:rPr>
              <w:t>教学实验设备名称</w:t>
            </w:r>
          </w:p>
        </w:tc>
        <w:tc>
          <w:tcPr>
            <w:tcW w:w="2101" w:type="dxa"/>
          </w:tcPr>
          <w:p>
            <w:pPr>
              <w:pStyle w:val="TableParagraph"/>
              <w:spacing w:before="79"/>
              <w:ind w:left="312"/>
              <w:rPr>
                <w:sz w:val="24"/>
              </w:rPr>
            </w:pPr>
            <w:r>
              <w:rPr>
                <w:sz w:val="24"/>
              </w:rPr>
              <w:t>型号规格</w:t>
            </w:r>
          </w:p>
        </w:tc>
        <w:tc>
          <w:tcPr>
            <w:tcW w:w="1669" w:type="dxa"/>
            <w:vAlign w:val="center"/>
          </w:tcPr>
          <w:p>
            <w:pPr>
              <w:pStyle w:val="TableParagraph"/>
              <w:spacing w:before="79"/>
              <w:ind w:right="688"/>
              <w:jc w:val="center"/>
              <w:rPr>
                <w:rFonts w:eastAsia="宋体" w:hint="default"/>
                <w:sz w:val="24"/>
                <w:lang w:val="en-US" w:eastAsia="zh-CN"/>
              </w:rPr>
            </w:pPr>
            <w:r>
              <w:rPr>
                <w:rFonts w:hint="eastAsia"/>
                <w:sz w:val="24"/>
                <w:lang w:val="en-US" w:eastAsia="zh-CN"/>
              </w:rPr>
              <w:t>数量</w:t>
            </w:r>
          </w:p>
        </w:tc>
        <w:tc>
          <w:tcPr>
            <w:tcW w:w="1550" w:type="dxa"/>
          </w:tcPr>
          <w:p>
            <w:pPr>
              <w:pStyle w:val="TableParagraph"/>
              <w:spacing w:before="79"/>
              <w:ind w:firstLine="240" w:firstLineChars="100"/>
              <w:rPr>
                <w:sz w:val="24"/>
              </w:rPr>
            </w:pPr>
            <w:r>
              <w:rPr>
                <w:sz w:val="24"/>
              </w:rPr>
              <w:t>购入时间</w:t>
            </w:r>
          </w:p>
        </w:tc>
        <w:tc>
          <w:tcPr>
            <w:tcW w:w="2250" w:type="dxa"/>
          </w:tcPr>
          <w:p>
            <w:pPr>
              <w:pStyle w:val="TableParagraph"/>
              <w:spacing w:before="79"/>
              <w:ind w:left="114"/>
              <w:rPr>
                <w:sz w:val="24"/>
              </w:rPr>
            </w:pPr>
            <w:r>
              <w:rPr>
                <w:sz w:val="24"/>
              </w:rPr>
              <w:t>设备价值（</w:t>
            </w:r>
            <w:r>
              <w:rPr>
                <w:rFonts w:hint="eastAsia"/>
                <w:sz w:val="24"/>
                <w:lang w:val="en-US" w:eastAsia="zh-CN"/>
              </w:rPr>
              <w:t>千</w:t>
            </w:r>
            <w:r>
              <w:rPr>
                <w:sz w:val="24"/>
              </w:rPr>
              <w:t>元）</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sz w:val="24"/>
                <w:szCs w:val="22"/>
                <w:lang w:val="en-US" w:eastAsia="zh-CN" w:bidi="zh-CN"/>
              </w:rPr>
            </w:pPr>
            <w:r>
              <w:rPr>
                <w:rFonts w:ascii="宋体" w:eastAsia="宋体" w:hAnsi="宋体" w:cs="宋体" w:hint="eastAsia"/>
                <w:kern w:val="2"/>
                <w:sz w:val="21"/>
                <w:szCs w:val="21"/>
                <w:lang w:val="en-US" w:eastAsia="zh-CN"/>
              </w:rPr>
              <w:t>单反相机</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left"/>
              <w:textAlignment w:val="center"/>
              <w:rPr>
                <w:rFonts w:ascii="宋体" w:eastAsia="宋体" w:hAnsi="宋体" w:cs="宋体" w:hint="eastAsia"/>
                <w:sz w:val="24"/>
                <w:szCs w:val="22"/>
                <w:lang w:val="en-US" w:eastAsia="zh-CN" w:bidi="zh-CN"/>
              </w:rPr>
            </w:pPr>
            <w:r>
              <w:rPr>
                <w:rFonts w:ascii="宋体" w:eastAsia="宋体" w:hAnsi="宋体" w:cs="宋体" w:hint="eastAsia"/>
                <w:b w:val="0"/>
                <w:kern w:val="2"/>
                <w:sz w:val="21"/>
                <w:szCs w:val="21"/>
                <w:lang w:val="en-US" w:eastAsia="zh-CN" w:bidi="ar-SA"/>
              </w:rPr>
              <w:t>EOS 80D 套机佳能（Canon），18-200mm</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4"/>
                <w:szCs w:val="22"/>
                <w:lang w:val="en-US" w:eastAsia="zh-CN" w:bidi="ar-SA"/>
              </w:rPr>
            </w:pPr>
            <w:r>
              <w:rPr>
                <w:rFonts w:ascii="宋体" w:eastAsia="宋体" w:hAnsi="宋体" w:cs="宋体" w:hint="eastAsia"/>
                <w:kern w:val="2"/>
                <w:sz w:val="21"/>
                <w:szCs w:val="21"/>
                <w:lang w:val="en-US" w:eastAsia="zh-CN" w:bidi="ar-SA"/>
              </w:rPr>
              <w:t>5</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50</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定焦镜头</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EF 50mm f/1.8 STM定焦小痰盂50 1.8三代人像镜头 大光圈背景虚化 半画幅全画幅自动对焦单反</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6</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变焦镜头</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17-40mm f/4L USM 广角变焦单反镜头风景人像17-40</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5</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广角镜头</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10-18 镜头EF-S 10-18mm IS STM防抖超广角变焦镜头 APS-C画幅 80D 70D 800D 60D 600D 550D风景风光人像</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6</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长焦镜头</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70-300mm f/4-5.6 IS II USM</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6</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电动卷轴（背景布）</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八轴（镀锌铁管）+遥控器</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三脚架</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与相机配套三角架</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可调节吊顶式演播室灯</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天花路轨（3.0*3.0m）和4个吊架价格1650元，5个品色k80c  RGD影视灯。</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5</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一体式折叠桌椅</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100</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15</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电脑</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iFound</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55</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330</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话筒</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爱科技，Akgc214</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4</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10</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声卡</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雅马哈，UR22C标配声卡</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4</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12</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耳机</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爱科技，Akg k361</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4</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10</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4K超清摄像机</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索尼PXW-Z280V</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120</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播音话筒</w:t>
            </w:r>
          </w:p>
        </w:tc>
        <w:tc>
          <w:tcPr>
            <w:tcW w:w="2101"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UWP-D21</w:t>
            </w:r>
          </w:p>
        </w:tc>
        <w:tc>
          <w:tcPr>
            <w:tcW w:w="1669"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c>
          <w:tcPr>
            <w:tcW w:w="15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tcBorders>
              <w:top w:val="single" w:sz="4" w:space="0" w:color="auto"/>
              <w:left w:val="single" w:sz="4" w:space="0" w:color="auto"/>
              <w:bottom w:val="single" w:sz="4" w:space="0" w:color="auto"/>
              <w:right w:val="single" w:sz="4" w:space="0" w:color="auto"/>
            </w:tcBorders>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12</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高速卡</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64GB</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6</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12</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三脚架</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HL-T660</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11</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锂电池</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BP-U70</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6</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19</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摄影灯+灯架</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金贝EFII150LED</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r>
      <w:tr>
        <w:tblPrEx>
          <w:tblW w:w="0" w:type="auto"/>
          <w:jc w:val="center"/>
          <w:tblInd w:w="116" w:type="dxa"/>
          <w:tblLayout w:type="fixed"/>
          <w:tblCellMar>
            <w:top w:w="0" w:type="dxa"/>
            <w:left w:w="0" w:type="dxa"/>
            <w:bottom w:w="0" w:type="dxa"/>
            <w:right w:w="0" w:type="dxa"/>
          </w:tblCellMar>
          <w:tblLook w:val="0000"/>
        </w:tblPrEx>
        <w:trPr>
          <w:trHeight w:val="46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无线麦克风</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罗德</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电钢琴</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雅马哈</w:t>
            </w:r>
          </w:p>
        </w:tc>
        <w:tc>
          <w:tcPr>
            <w:tcW w:w="1669"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46</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750</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钢琴</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星海</w:t>
            </w:r>
          </w:p>
        </w:tc>
        <w:tc>
          <w:tcPr>
            <w:tcW w:w="1669"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4</w:t>
            </w:r>
          </w:p>
        </w:tc>
        <w:tc>
          <w:tcPr>
            <w:tcW w:w="1550" w:type="dxa"/>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default"/>
                <w:kern w:val="2"/>
                <w:sz w:val="21"/>
                <w:szCs w:val="21"/>
                <w:lang w:val="en-US" w:eastAsia="zh-CN"/>
              </w:rPr>
            </w:pPr>
            <w:r>
              <w:rPr>
                <w:rFonts w:ascii="宋体" w:eastAsia="宋体" w:hAnsi="宋体" w:cs="宋体" w:hint="eastAsia"/>
                <w:kern w:val="2"/>
                <w:sz w:val="21"/>
                <w:szCs w:val="21"/>
                <w:lang w:val="en-US" w:eastAsia="zh-CN"/>
              </w:rPr>
              <w:t>80</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演播室专用提词器</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ET-22</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13.5</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高清一体化演播室系统</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EasyLive 4K PRO</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158</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控制切换面板</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EasyLive CT</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12</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4k非编系统</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CY-1000E</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71</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12路带效果器模拟 专业调音台</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MG12XU</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3.2</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专业监听耳机</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ATH-M20x</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1.5</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专业监听音箱</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MSP5</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4.4</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导播桌</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定制，6联</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视音频线缆</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工程辅料</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25</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静音吸顶空调</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5P 格力</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12</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虚拟演播室灯光</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LED-120平板灯，LED-J100聚光灯，桥架，调光台等</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196</w:t>
            </w:r>
          </w:p>
        </w:tc>
      </w:tr>
      <w:tr>
        <w:tblPrEx>
          <w:tblW w:w="0" w:type="auto"/>
          <w:jc w:val="center"/>
          <w:tblInd w:w="116" w:type="dxa"/>
          <w:tblLayout w:type="fixed"/>
          <w:tblCellMar>
            <w:top w:w="0" w:type="dxa"/>
            <w:left w:w="0" w:type="dxa"/>
            <w:bottom w:w="0" w:type="dxa"/>
            <w:right w:w="0" w:type="dxa"/>
          </w:tblCellMar>
          <w:tblLook w:val="0000"/>
        </w:tblPrEx>
        <w:trPr>
          <w:trHeight w:val="497"/>
          <w:jc w:val="center"/>
        </w:trPr>
        <w:tc>
          <w:tcPr>
            <w:tcW w:w="2237"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蓝箱</w:t>
            </w:r>
          </w:p>
        </w:tc>
        <w:tc>
          <w:tcPr>
            <w:tcW w:w="2101"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zh-CN" w:eastAsia="zh-CN"/>
              </w:rPr>
            </w:pPr>
            <w:r>
              <w:rPr>
                <w:rFonts w:ascii="宋体" w:eastAsia="宋体" w:hAnsi="宋体" w:cs="宋体" w:hint="eastAsia"/>
                <w:kern w:val="2"/>
                <w:sz w:val="21"/>
                <w:szCs w:val="21"/>
                <w:lang w:val="en-US" w:eastAsia="zh-CN"/>
              </w:rPr>
              <w:t>定制扇形蓝箱，进口抠像漆，进口抠像地胶</w:t>
            </w:r>
          </w:p>
        </w:tc>
        <w:tc>
          <w:tcPr>
            <w:tcW w:w="1669"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1</w:t>
            </w:r>
          </w:p>
        </w:tc>
        <w:tc>
          <w:tcPr>
            <w:tcW w:w="15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2020</w:t>
            </w:r>
            <w:r>
              <w:rPr>
                <w:rFonts w:eastAsia="宋体" w:cs="宋体" w:hint="eastAsia"/>
                <w:kern w:val="2"/>
                <w:sz w:val="21"/>
                <w:szCs w:val="21"/>
                <w:lang w:val="en-US" w:eastAsia="zh-CN"/>
              </w:rPr>
              <w:t>年</w:t>
            </w:r>
          </w:p>
        </w:tc>
        <w:tc>
          <w:tcPr>
            <w:tcW w:w="2250" w:type="dxa"/>
            <w:vAlign w:val="center"/>
          </w:tcPr>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pPr>
            <w:r>
              <w:rPr>
                <w:rFonts w:ascii="宋体" w:eastAsia="宋体" w:hAnsi="宋体" w:cs="宋体" w:hint="eastAsia"/>
                <w:kern w:val="2"/>
                <w:sz w:val="21"/>
                <w:szCs w:val="21"/>
                <w:lang w:val="en-US" w:eastAsia="zh-CN"/>
              </w:rPr>
              <w:t>90</w:t>
            </w:r>
          </w:p>
        </w:tc>
      </w:tr>
    </w:tbl>
    <w:p>
      <w:pPr>
        <w:widowControl/>
        <w:adjustRightInd/>
        <w:snapToGrid/>
        <w:spacing w:after="0" w:line="240" w:lineRule="auto"/>
        <w:jc w:val="center"/>
        <w:textAlignment w:val="bottom"/>
        <w:rPr>
          <w:rFonts w:ascii="宋体" w:eastAsia="宋体" w:hAnsi="宋体" w:cs="宋体" w:hint="eastAsia"/>
          <w:kern w:val="2"/>
          <w:sz w:val="21"/>
          <w:szCs w:val="21"/>
          <w:lang w:val="en-US" w:eastAsia="zh-CN"/>
        </w:rPr>
        <w:sectPr>
          <w:headerReference w:type="default" r:id="rId5"/>
          <w:pgSz w:w="11911" w:h="16838" w:orient="portrait"/>
          <w:pgMar w:top="1417" w:right="850" w:bottom="1417" w:left="850" w:header="720" w:footer="720" w:gutter="0"/>
          <w:paperSrc w:first="0" w:other="0"/>
          <w:cols w:space="708"/>
          <w:titlePg w:val="0"/>
          <w:rtlGutter w:val="0"/>
          <w:docGrid w:charSpace="0"/>
        </w:sectPr>
      </w:pPr>
    </w:p>
    <w:p>
      <w:pPr>
        <w:pStyle w:val="BodyText"/>
        <w:spacing w:before="3" w:after="1"/>
        <w:jc w:val="center"/>
        <w:rPr>
          <w:rFonts w:ascii="Times New Roman"/>
          <w:sz w:val="20"/>
        </w:rPr>
      </w:pPr>
      <w:r>
        <w:rPr>
          <w:rFonts w:hint="eastAsia"/>
          <w:sz w:val="36"/>
          <w:lang w:eastAsia="zh-CN"/>
        </w:rPr>
        <w:t>校内专业设置评议专家组意见表</w:t>
      </w:r>
    </w:p>
    <w:p>
      <w:pPr>
        <w:pStyle w:val="BodyText"/>
        <w:spacing w:before="3" w:after="1"/>
        <w:rPr>
          <w:rFonts w:ascii="Times New Roman"/>
          <w:sz w:val="21"/>
        </w:rPr>
      </w:pPr>
    </w:p>
    <w:tbl>
      <w:tblPr>
        <w:tblStyle w:val="TableNormal"/>
        <w:tblpPr w:leftFromText="180" w:rightFromText="180" w:vertAnchor="text" w:horzAnchor="page" w:tblpX="1051" w:tblpY="177"/>
        <w:tblOverlap w:val="neve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
      <w:tblGrid>
        <w:gridCol w:w="3454"/>
        <w:gridCol w:w="3459"/>
        <w:gridCol w:w="26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0" w:type="dxa"/>
            <w:bottom w:w="0" w:type="dxa"/>
            <w:right w:w="0" w:type="dxa"/>
          </w:tblCellMar>
          <w:tblLook w:val="0000"/>
        </w:tblPrEx>
        <w:trPr>
          <w:trHeight w:val="1096"/>
          <w:jc w:val="center"/>
        </w:trPr>
        <w:tc>
          <w:tcPr>
            <w:tcW w:w="6913" w:type="dxa"/>
            <w:gridSpan w:val="2"/>
          </w:tcPr>
          <w:p>
            <w:pPr>
              <w:pStyle w:val="TableParagraph"/>
              <w:rPr>
                <w:rFonts w:ascii="Times New Roman"/>
                <w:sz w:val="24"/>
              </w:rPr>
            </w:pPr>
          </w:p>
          <w:p>
            <w:pPr>
              <w:pStyle w:val="TableParagraph"/>
              <w:spacing w:before="165"/>
              <w:ind w:left="1895"/>
              <w:rPr>
                <w:sz w:val="24"/>
              </w:rPr>
            </w:pPr>
            <w:r>
              <w:rPr>
                <w:sz w:val="24"/>
              </w:rPr>
              <w:t>总体判断拟开设专业是否可行</w:t>
            </w:r>
          </w:p>
        </w:tc>
        <w:tc>
          <w:tcPr>
            <w:tcW w:w="2660" w:type="dxa"/>
          </w:tcPr>
          <w:p>
            <w:pPr>
              <w:pStyle w:val="TableParagraph"/>
              <w:rPr>
                <w:rFonts w:ascii="Times New Roman"/>
                <w:sz w:val="24"/>
              </w:rPr>
            </w:pPr>
          </w:p>
          <w:p>
            <w:pPr>
              <w:pStyle w:val="TableParagraph"/>
              <w:tabs>
                <w:tab w:val="left" w:pos="844"/>
              </w:tabs>
              <w:spacing w:before="148"/>
              <w:ind w:left="5"/>
              <w:jc w:val="center"/>
              <w:rPr>
                <w:sz w:val="24"/>
              </w:rPr>
            </w:pPr>
            <w:r>
              <w:rPr>
                <w:rFonts w:ascii="Wingdings 2" w:hAnsi="Wingdings 2" w:cs="Times New Roman"/>
                <w:sz w:val="24"/>
              </w:rPr>
              <w:sym w:font="Wingdings 2" w:char="F052"/>
            </w:r>
            <w:r>
              <w:rPr>
                <w:sz w:val="24"/>
              </w:rPr>
              <w:t>是</w:t>
            </w:r>
            <w:r>
              <w:rPr>
                <w:sz w:val="24"/>
              </w:rPr>
              <w:tab/>
            </w:r>
            <w:r>
              <w:rPr>
                <w:sz w:val="24"/>
              </w:rPr>
              <w:t>□否</w:t>
            </w:r>
          </w:p>
        </w:tc>
      </w:tr>
      <w:tr>
        <w:tblPrEx>
          <w:tblW w:w="0" w:type="auto"/>
          <w:jc w:val="center"/>
          <w:tblInd w:w="0" w:type="dxa"/>
          <w:tblLayout w:type="fixed"/>
          <w:tblCellMar>
            <w:top w:w="0" w:type="dxa"/>
            <w:left w:w="0" w:type="dxa"/>
            <w:bottom w:w="0" w:type="dxa"/>
            <w:right w:w="0" w:type="dxa"/>
          </w:tblCellMar>
          <w:tblLook w:val="0000"/>
        </w:tblPrEx>
        <w:trPr>
          <w:trHeight w:val="6623"/>
          <w:jc w:val="center"/>
        </w:trPr>
        <w:tc>
          <w:tcPr>
            <w:tcW w:w="9573" w:type="dxa"/>
            <w:gridSpan w:val="3"/>
          </w:tcPr>
          <w:p>
            <w:pPr>
              <w:pStyle w:val="TableParagraph"/>
              <w:spacing w:before="112"/>
              <w:ind w:left="107"/>
              <w:rPr>
                <w:sz w:val="24"/>
              </w:rPr>
            </w:pPr>
            <w:r>
              <w:rPr>
                <w:sz w:val="24"/>
              </w:rPr>
              <w:t>理由：</w:t>
            </w:r>
          </w:p>
          <w:p>
            <w:pPr>
              <w:spacing w:line="360" w:lineRule="auto"/>
              <w:ind w:right="440" w:firstLine="960" w:rightChars="200" w:firstLineChars="400"/>
              <w:jc w:val="both"/>
              <w:rPr>
                <w:rFonts w:ascii="宋体" w:eastAsia="宋体" w:hAnsi="宋体" w:cs="宋体" w:hint="eastAsia"/>
                <w:sz w:val="24"/>
                <w:szCs w:val="22"/>
                <w:lang w:val="en-US" w:eastAsia="zh-CN" w:bidi="zh-CN"/>
              </w:rPr>
            </w:pPr>
          </w:p>
          <w:p>
            <w:pPr>
              <w:spacing w:line="360" w:lineRule="auto"/>
              <w:ind w:right="440" w:firstLine="960" w:rightChars="200" w:firstLineChars="400"/>
              <w:jc w:val="both"/>
              <w:rPr>
                <w:rFonts w:ascii="宋体" w:eastAsia="宋体" w:hAnsi="宋体" w:cs="宋体" w:hint="eastAsia"/>
                <w:sz w:val="24"/>
                <w:szCs w:val="22"/>
                <w:lang w:val="en-US" w:eastAsia="zh-CN" w:bidi="zh-CN"/>
              </w:rPr>
            </w:pPr>
            <w:r>
              <w:rPr>
                <w:rFonts w:ascii="宋体" w:eastAsia="宋体" w:hAnsi="宋体" w:cs="宋体" w:hint="eastAsia"/>
                <w:sz w:val="24"/>
                <w:szCs w:val="22"/>
                <w:lang w:val="en-US" w:eastAsia="zh-CN" w:bidi="zh-CN"/>
              </w:rPr>
              <w:t>我校在2021年拟申报表演专业，经专家组审议，具体意见如下：</w:t>
            </w:r>
          </w:p>
          <w:p>
            <w:pPr>
              <w:spacing w:line="360" w:lineRule="auto"/>
              <w:ind w:left="440" w:right="440" w:firstLine="480" w:leftChars="200" w:rightChars="200" w:firstLineChars="200"/>
              <w:jc w:val="both"/>
              <w:rPr>
                <w:rFonts w:ascii="宋体" w:eastAsia="宋体" w:hAnsi="宋体" w:cs="宋体" w:hint="eastAsia"/>
                <w:sz w:val="24"/>
                <w:szCs w:val="22"/>
                <w:lang w:val="en-US" w:eastAsia="zh-CN" w:bidi="zh-CN"/>
              </w:rPr>
            </w:pPr>
            <w:r>
              <w:rPr>
                <w:rFonts w:ascii="宋体" w:eastAsia="宋体" w:hAnsi="宋体" w:cs="宋体" w:hint="eastAsia"/>
                <w:sz w:val="24"/>
                <w:szCs w:val="22"/>
                <w:lang w:val="en-US" w:eastAsia="zh-CN" w:bidi="zh-CN"/>
              </w:rPr>
              <w:t>河北省表演行业人才紧缺十分突出，随着影视传媒业的发展，媒体对表演类人才的需求量更是逐年剧增，影视表演毕业生就业呈现较为灵活的特点。近年来迅猛发展的文化产业，电影、电视剧、广告等事业为影视表演专业的人才提供了各种各样的岗位，使影视表演人才在选择岗位时有了较大的选择空间，就业前景非常广阔。我校作为民办高校承担着河北省，乃至区域人才培养的重任。因此，我校增设表演本科专业教育符合人才培养需求。</w:t>
            </w:r>
          </w:p>
          <w:p>
            <w:pPr>
              <w:spacing w:line="360" w:lineRule="auto"/>
              <w:ind w:left="440" w:right="440" w:firstLine="480" w:leftChars="200" w:rightChars="200" w:firstLineChars="200"/>
              <w:jc w:val="both"/>
              <w:rPr>
                <w:rFonts w:ascii="宋体" w:eastAsia="宋体" w:hAnsi="宋体" w:cs="宋体" w:hint="eastAsia"/>
                <w:sz w:val="24"/>
                <w:szCs w:val="22"/>
                <w:lang w:val="en-US" w:eastAsia="zh-CN" w:bidi="zh-CN"/>
              </w:rPr>
            </w:pPr>
            <w:r>
              <w:rPr>
                <w:rFonts w:ascii="宋体" w:eastAsia="宋体" w:hAnsi="宋体" w:cs="宋体" w:hint="eastAsia"/>
                <w:sz w:val="24"/>
                <w:szCs w:val="22"/>
                <w:lang w:val="en-US" w:eastAsia="zh-CN" w:bidi="zh-CN"/>
              </w:rPr>
              <w:t>该申报专业的办学定位、人才培养目标符合《普通高等学校本科专业类教学质量国家标准》和以工科为主、培养地方经济发展需要的人才要求，办学条件基本达</w:t>
            </w:r>
          </w:p>
          <w:p>
            <w:pPr>
              <w:spacing w:line="360" w:lineRule="auto"/>
              <w:ind w:left="440" w:right="440" w:firstLine="0" w:leftChars="200" w:rightChars="200" w:firstLineChars="0"/>
              <w:jc w:val="both"/>
              <w:rPr>
                <w:rFonts w:ascii="宋体" w:eastAsia="宋体" w:hAnsi="宋体" w:cs="宋体" w:hint="eastAsia"/>
                <w:sz w:val="24"/>
                <w:szCs w:val="22"/>
                <w:lang w:val="en-US" w:eastAsia="zh-CN" w:bidi="zh-CN"/>
              </w:rPr>
            </w:pPr>
            <w:r>
              <w:rPr>
                <w:rFonts w:ascii="宋体" w:eastAsia="宋体" w:hAnsi="宋体" w:cs="宋体" w:hint="eastAsia"/>
                <w:sz w:val="24"/>
                <w:szCs w:val="22"/>
                <w:lang w:val="en-US" w:eastAsia="zh-CN" w:bidi="zh-CN"/>
              </w:rPr>
              <w:t>到国家标准、教学管理基本规范、教学质量基本得到保证，具有良好的发展前景。</w:t>
            </w:r>
          </w:p>
          <w:p>
            <w:pPr>
              <w:spacing w:line="360" w:lineRule="auto"/>
              <w:ind w:left="440" w:right="440" w:firstLine="480" w:leftChars="200" w:rightChars="200" w:firstLineChars="200"/>
              <w:jc w:val="both"/>
              <w:rPr>
                <w:sz w:val="24"/>
                <w:lang w:val="en-US"/>
              </w:rPr>
            </w:pPr>
            <w:r>
              <w:rPr>
                <w:rFonts w:ascii="宋体" w:eastAsia="宋体" w:hAnsi="宋体" w:cs="宋体" w:hint="eastAsia"/>
                <w:sz w:val="24"/>
                <w:szCs w:val="22"/>
                <w:lang w:val="en-US" w:eastAsia="zh-CN" w:bidi="zh-CN"/>
              </w:rPr>
              <w:t>经过校内专业设置评议专家组审议，同意申报表演本科专业。</w:t>
            </w:r>
          </w:p>
        </w:tc>
      </w:tr>
      <w:tr>
        <w:tblPrEx>
          <w:tblW w:w="0" w:type="auto"/>
          <w:jc w:val="center"/>
          <w:tblInd w:w="0" w:type="dxa"/>
          <w:tblLayout w:type="fixed"/>
          <w:tblCellMar>
            <w:top w:w="0" w:type="dxa"/>
            <w:left w:w="0" w:type="dxa"/>
            <w:bottom w:w="0" w:type="dxa"/>
            <w:right w:w="0" w:type="dxa"/>
          </w:tblCellMar>
          <w:tblLook w:val="0000"/>
        </w:tblPrEx>
        <w:trPr>
          <w:trHeight w:val="700"/>
          <w:jc w:val="center"/>
        </w:trPr>
        <w:tc>
          <w:tcPr>
            <w:tcW w:w="6913" w:type="dxa"/>
            <w:gridSpan w:val="2"/>
          </w:tcPr>
          <w:p>
            <w:pPr>
              <w:pStyle w:val="TableParagraph"/>
              <w:spacing w:before="3"/>
              <w:rPr>
                <w:rFonts w:ascii="Times New Roman"/>
                <w:sz w:val="21"/>
              </w:rPr>
            </w:pPr>
          </w:p>
          <w:p>
            <w:pPr>
              <w:pStyle w:val="TableParagraph"/>
              <w:ind w:left="1535"/>
              <w:rPr>
                <w:sz w:val="24"/>
              </w:rPr>
            </w:pPr>
            <w:r>
              <w:rPr>
                <w:sz w:val="24"/>
              </w:rPr>
              <w:t>拟招生人数与人才需求预测是否匹配</w:t>
            </w:r>
          </w:p>
        </w:tc>
        <w:tc>
          <w:tcPr>
            <w:tcW w:w="2660" w:type="dxa"/>
          </w:tcPr>
          <w:p>
            <w:pPr>
              <w:pStyle w:val="TableParagraph"/>
              <w:spacing w:before="3"/>
              <w:rPr>
                <w:rFonts w:ascii="Times New Roman"/>
                <w:sz w:val="21"/>
              </w:rPr>
            </w:pPr>
          </w:p>
          <w:p>
            <w:pPr>
              <w:pStyle w:val="TableParagraph"/>
              <w:tabs>
                <w:tab w:val="left" w:pos="844"/>
              </w:tabs>
              <w:ind w:left="5"/>
              <w:jc w:val="center"/>
              <w:rPr>
                <w:sz w:val="24"/>
              </w:rPr>
            </w:pPr>
            <w:r>
              <w:rPr>
                <w:rFonts w:ascii="Wingdings 2" w:hAnsi="Wingdings 2" w:cs="Times New Roman"/>
                <w:sz w:val="24"/>
              </w:rPr>
              <w:sym w:font="Wingdings 2" w:char="F052"/>
            </w:r>
            <w:r>
              <w:rPr>
                <w:sz w:val="24"/>
              </w:rPr>
              <w:t>是</w:t>
            </w:r>
            <w:r>
              <w:rPr>
                <w:sz w:val="24"/>
              </w:rPr>
              <w:tab/>
            </w:r>
            <w:r>
              <w:rPr>
                <w:sz w:val="24"/>
              </w:rPr>
              <w:t>□否</w:t>
            </w:r>
          </w:p>
        </w:tc>
      </w:tr>
      <w:tr>
        <w:tblPrEx>
          <w:tblW w:w="0" w:type="auto"/>
          <w:jc w:val="center"/>
          <w:tblInd w:w="0" w:type="dxa"/>
          <w:tblLayout w:type="fixed"/>
          <w:tblCellMar>
            <w:top w:w="0" w:type="dxa"/>
            <w:left w:w="0" w:type="dxa"/>
            <w:bottom w:w="0" w:type="dxa"/>
            <w:right w:w="0" w:type="dxa"/>
          </w:tblCellMar>
          <w:tblLook w:val="0000"/>
        </w:tblPrEx>
        <w:trPr>
          <w:trHeight w:val="441"/>
          <w:jc w:val="center"/>
        </w:trPr>
        <w:tc>
          <w:tcPr>
            <w:tcW w:w="3454" w:type="dxa"/>
            <w:vMerge w:val="restart"/>
          </w:tcPr>
          <w:p>
            <w:pPr>
              <w:pStyle w:val="TableParagraph"/>
              <w:spacing w:before="9"/>
              <w:rPr>
                <w:rFonts w:ascii="Times New Roman"/>
                <w:sz w:val="29"/>
              </w:rPr>
            </w:pPr>
          </w:p>
          <w:p>
            <w:pPr>
              <w:pStyle w:val="TableParagraph"/>
              <w:spacing w:line="345" w:lineRule="auto"/>
              <w:ind w:left="525" w:right="276" w:hanging="240"/>
              <w:rPr>
                <w:sz w:val="24"/>
              </w:rPr>
            </w:pPr>
            <w:r>
              <w:rPr>
                <w:sz w:val="24"/>
              </w:rPr>
              <w:t>本专业开设的基本条件是否符合教学质量国家标准</w:t>
            </w:r>
          </w:p>
        </w:tc>
        <w:tc>
          <w:tcPr>
            <w:tcW w:w="3459" w:type="dxa"/>
          </w:tcPr>
          <w:p>
            <w:pPr>
              <w:pStyle w:val="TableParagraph"/>
              <w:spacing w:before="112"/>
              <w:ind w:left="1247"/>
              <w:rPr>
                <w:sz w:val="24"/>
              </w:rPr>
            </w:pPr>
            <w:r>
              <w:rPr>
                <w:sz w:val="24"/>
              </w:rPr>
              <w:t>教师队伍</w:t>
            </w:r>
          </w:p>
        </w:tc>
        <w:tc>
          <w:tcPr>
            <w:tcW w:w="2660" w:type="dxa"/>
          </w:tcPr>
          <w:p>
            <w:pPr>
              <w:pStyle w:val="TableParagraph"/>
              <w:tabs>
                <w:tab w:val="left" w:pos="844"/>
              </w:tabs>
              <w:spacing w:before="112"/>
              <w:ind w:left="5"/>
              <w:jc w:val="center"/>
              <w:rPr>
                <w:sz w:val="24"/>
              </w:rPr>
            </w:pPr>
            <w:r>
              <w:rPr>
                <w:rFonts w:ascii="Wingdings 2" w:hAnsi="Wingdings 2" w:cs="Times New Roman"/>
                <w:sz w:val="24"/>
              </w:rPr>
              <w:sym w:font="Wingdings 2" w:char="F052"/>
            </w:r>
            <w:r>
              <w:rPr>
                <w:sz w:val="24"/>
              </w:rPr>
              <w:t>是</w:t>
            </w:r>
            <w:r>
              <w:rPr>
                <w:sz w:val="24"/>
              </w:rPr>
              <w:tab/>
            </w:r>
            <w:r>
              <w:rPr>
                <w:sz w:val="24"/>
              </w:rPr>
              <w:t>□否</w:t>
            </w:r>
          </w:p>
        </w:tc>
      </w:tr>
      <w:tr>
        <w:tblPrEx>
          <w:tblW w:w="0" w:type="auto"/>
          <w:jc w:val="center"/>
          <w:tblInd w:w="0" w:type="dxa"/>
          <w:tblLayout w:type="fixed"/>
          <w:tblCellMar>
            <w:top w:w="0" w:type="dxa"/>
            <w:left w:w="0" w:type="dxa"/>
            <w:bottom w:w="0" w:type="dxa"/>
            <w:right w:w="0" w:type="dxa"/>
          </w:tblCellMar>
          <w:tblLook w:val="0000"/>
        </w:tblPrEx>
        <w:trPr>
          <w:trHeight w:val="438"/>
          <w:jc w:val="center"/>
        </w:trPr>
        <w:tc>
          <w:tcPr>
            <w:tcW w:w="3454" w:type="dxa"/>
            <w:vMerge/>
            <w:tcBorders>
              <w:top w:val="nil"/>
            </w:tcBorders>
          </w:tcPr>
          <w:p>
            <w:pPr>
              <w:rPr>
                <w:sz w:val="2"/>
                <w:szCs w:val="2"/>
              </w:rPr>
            </w:pPr>
          </w:p>
        </w:tc>
        <w:tc>
          <w:tcPr>
            <w:tcW w:w="3459" w:type="dxa"/>
          </w:tcPr>
          <w:p>
            <w:pPr>
              <w:pStyle w:val="TableParagraph"/>
              <w:spacing w:before="112" w:line="306" w:lineRule="exact"/>
              <w:ind w:left="1247"/>
              <w:rPr>
                <w:sz w:val="24"/>
              </w:rPr>
            </w:pPr>
            <w:r>
              <w:rPr>
                <w:sz w:val="24"/>
              </w:rPr>
              <w:t>实践条件</w:t>
            </w:r>
          </w:p>
        </w:tc>
        <w:tc>
          <w:tcPr>
            <w:tcW w:w="2660" w:type="dxa"/>
          </w:tcPr>
          <w:p>
            <w:pPr>
              <w:pStyle w:val="TableParagraph"/>
              <w:tabs>
                <w:tab w:val="left" w:pos="844"/>
              </w:tabs>
              <w:spacing w:before="112" w:line="306" w:lineRule="exact"/>
              <w:ind w:left="5"/>
              <w:jc w:val="center"/>
              <w:rPr>
                <w:sz w:val="24"/>
              </w:rPr>
            </w:pPr>
            <w:r>
              <w:rPr>
                <w:rFonts w:ascii="Wingdings 2" w:hAnsi="Wingdings 2" w:cs="Times New Roman"/>
                <w:sz w:val="24"/>
              </w:rPr>
              <w:sym w:font="Wingdings 2" w:char="F052"/>
            </w:r>
            <w:r>
              <w:rPr>
                <w:sz w:val="24"/>
              </w:rPr>
              <w:t>是</w:t>
            </w:r>
            <w:r>
              <w:rPr>
                <w:sz w:val="24"/>
              </w:rPr>
              <w:tab/>
            </w:r>
            <w:r>
              <w:rPr>
                <w:sz w:val="24"/>
              </w:rPr>
              <w:t>□否</w:t>
            </w:r>
          </w:p>
        </w:tc>
      </w:tr>
      <w:tr>
        <w:tblPrEx>
          <w:tblW w:w="0" w:type="auto"/>
          <w:jc w:val="center"/>
          <w:tblInd w:w="0" w:type="dxa"/>
          <w:tblLayout w:type="fixed"/>
          <w:tblCellMar>
            <w:top w:w="0" w:type="dxa"/>
            <w:left w:w="0" w:type="dxa"/>
            <w:bottom w:w="0" w:type="dxa"/>
            <w:right w:w="0" w:type="dxa"/>
          </w:tblCellMar>
          <w:tblLook w:val="0000"/>
        </w:tblPrEx>
        <w:trPr>
          <w:trHeight w:val="441"/>
          <w:jc w:val="center"/>
        </w:trPr>
        <w:tc>
          <w:tcPr>
            <w:tcW w:w="3454" w:type="dxa"/>
            <w:vMerge/>
            <w:tcBorders>
              <w:top w:val="nil"/>
            </w:tcBorders>
          </w:tcPr>
          <w:p>
            <w:pPr>
              <w:rPr>
                <w:sz w:val="2"/>
                <w:szCs w:val="2"/>
              </w:rPr>
            </w:pPr>
          </w:p>
        </w:tc>
        <w:tc>
          <w:tcPr>
            <w:tcW w:w="3459" w:type="dxa"/>
          </w:tcPr>
          <w:p>
            <w:pPr>
              <w:pStyle w:val="TableParagraph"/>
              <w:spacing w:before="113"/>
              <w:ind w:left="1247"/>
              <w:rPr>
                <w:sz w:val="24"/>
              </w:rPr>
            </w:pPr>
            <w:r>
              <w:rPr>
                <w:sz w:val="24"/>
              </w:rPr>
              <w:t>经费保障</w:t>
            </w:r>
          </w:p>
        </w:tc>
        <w:tc>
          <w:tcPr>
            <w:tcW w:w="2660" w:type="dxa"/>
          </w:tcPr>
          <w:p>
            <w:pPr>
              <w:pStyle w:val="TableParagraph"/>
              <w:tabs>
                <w:tab w:val="left" w:pos="844"/>
              </w:tabs>
              <w:spacing w:before="113"/>
              <w:ind w:left="5"/>
              <w:jc w:val="center"/>
              <w:rPr>
                <w:sz w:val="24"/>
              </w:rPr>
            </w:pPr>
            <w:r>
              <w:rPr>
                <w:rFonts w:ascii="Wingdings 2" w:hAnsi="Wingdings 2" w:cs="Times New Roman"/>
                <w:sz w:val="24"/>
              </w:rPr>
              <w:sym w:font="Wingdings 2" w:char="F052"/>
            </w:r>
            <w:r>
              <w:rPr>
                <w:sz w:val="24"/>
              </w:rPr>
              <w:t>是</w:t>
            </w:r>
            <w:r>
              <w:rPr>
                <w:sz w:val="24"/>
              </w:rPr>
              <w:tab/>
            </w:r>
            <w:r>
              <w:rPr>
                <w:sz w:val="24"/>
              </w:rPr>
              <w:t>□否</w:t>
            </w:r>
          </w:p>
        </w:tc>
      </w:tr>
      <w:tr>
        <w:tblPrEx>
          <w:tblW w:w="0" w:type="auto"/>
          <w:jc w:val="center"/>
          <w:tblInd w:w="0" w:type="dxa"/>
          <w:tblLayout w:type="fixed"/>
          <w:tblCellMar>
            <w:top w:w="0" w:type="dxa"/>
            <w:left w:w="0" w:type="dxa"/>
            <w:bottom w:w="0" w:type="dxa"/>
            <w:right w:w="0" w:type="dxa"/>
          </w:tblCellMar>
          <w:tblLook w:val="0000"/>
        </w:tblPrEx>
        <w:trPr>
          <w:trHeight w:val="1871"/>
          <w:jc w:val="center"/>
        </w:trPr>
        <w:tc>
          <w:tcPr>
            <w:tcW w:w="9573" w:type="dxa"/>
            <w:gridSpan w:val="3"/>
          </w:tcPr>
          <w:p>
            <w:pPr>
              <w:pStyle w:val="TableParagraph"/>
              <w:spacing w:line="362" w:lineRule="exact"/>
              <w:ind w:left="107"/>
              <w:rPr>
                <w:rFonts w:ascii="Microsoft JhengHei" w:hint="eastAsia"/>
                <w:b/>
                <w:sz w:val="24"/>
              </w:rPr>
            </w:pPr>
            <w:r>
              <w:rPr>
                <w:rFonts w:ascii="Microsoft JhengHei" w:eastAsia="Microsoft JhengHei" w:hint="eastAsia"/>
                <w:b/>
                <w:sz w:val="24"/>
              </w:rPr>
              <w:t>专家签字：</w:t>
            </w:r>
          </w:p>
        </w:tc>
      </w:tr>
    </w:tbl>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
      <w:pPr>
        <w:widowControl/>
        <w:jc w:val="left"/>
        <w:rPr>
          <w:rFonts w:ascii="Cambria" w:eastAsia="宋体" w:hAnsi="Cambria" w:cs="Times New Roman"/>
          <w:caps/>
          <w:kern w:val="0"/>
          <w:sz w:val="22"/>
        </w:rPr>
      </w:pPr>
      <w:r>
        <w:rPr>
          <w:rFonts w:ascii="方正黄草简体" w:eastAsia="方正黄草简体" w:hAnsi="华文楷体"/>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s1025" type="#_x0000_t75" alt="H:\合格评估\河北科技学院合格评估院长报告、领导致辞\校徽1.png" style="width:93.8pt;height:81.35pt;margin-top:6.95pt;margin-left:0.45pt;mso-wrap-distance-left:5.65pt;mso-wrap-distance-right:2.85pt;position:absolute;z-index:251658240" o:preferrelative="t" filled="f" stroked="f">
            <v:fill o:detectmouseclick="t"/>
            <v:imagedata r:id="rId6" o:title="H:\合格评估\河北科技学院合格评估院长报告、领导致辞\校徽1.png"/>
            <v:path o:extrusionok="f"/>
            <o:lock v:ext="edit" aspectratio="t"/>
            <w10:wrap type="square"/>
          </v:shape>
        </w:pict>
      </w:r>
      <w:r>
        <w:rPr>
          <w:rFonts w:ascii="方正黄草简体" w:eastAsia="方正黄草简体" w:hAnsi="华文楷体"/>
          <w:sz w:val="72"/>
          <w:szCs w:val="72"/>
        </w:rPr>
        <w:pict>
          <v:shapetype id="_x0000_t202" coordsize="21600,21600" o:spt="202" path="m,l,21600r21600,l21600,xe">
            <v:stroke joinstyle="miter"/>
            <v:path gradientshapeok="t" o:connecttype="rect"/>
          </v:shapetype>
          <v:shape id="Text Box 82" o:spid="_x0000_s1026" type="#_x0000_t202" style="width:261.05pt;height:82pt;margin-top:12.55pt;margin-left:-6.5pt;mso-wrap-style:square;position:absolute;v-text-anchor:top;z-index:251659264" filled="f" stroked="f">
            <v:fill o:detectmouseclick="t"/>
            <o:lock v:ext="edit" aspectratio="f"/>
            <v:textbox style="layout-flow:horizontal">
              <w:txbxContent>
                <w:p>
                  <w:pPr>
                    <w:spacing w:line="700" w:lineRule="exact"/>
                    <w:ind w:firstLine="260" w:firstLineChars="50"/>
                    <w:rPr>
                      <w:rFonts w:ascii="方正黄草简体" w:eastAsia="方正黄草简体" w:hAnsi="华文楷体"/>
                      <w:color w:val="000000"/>
                      <w:sz w:val="52"/>
                      <w:szCs w:val="52"/>
                    </w:rPr>
                  </w:pPr>
                  <w:r>
                    <w:rPr>
                      <w:rFonts w:ascii="方正黄草简体" w:eastAsia="方正黄草简体" w:hAnsi="华文楷体" w:hint="eastAsia"/>
                      <w:color w:val="000000"/>
                      <w:sz w:val="52"/>
                      <w:szCs w:val="52"/>
                    </w:rPr>
                    <w:t>河北科技学院</w:t>
                  </w:r>
                </w:p>
                <w:p>
                  <w:pPr>
                    <w:spacing w:line="700" w:lineRule="exact"/>
                    <w:rPr>
                      <w:rFonts w:ascii="方正黄草简体" w:eastAsia="方正黄草简体" w:hAnsi="华文楷体"/>
                      <w:color w:val="000000"/>
                      <w:sz w:val="52"/>
                      <w:szCs w:val="52"/>
                    </w:rPr>
                  </w:pPr>
                  <w:r>
                    <w:rPr>
                      <w:rFonts w:ascii="Cambria" w:eastAsia="华文楷体" w:hAnsi="Cambria"/>
                      <w:color w:val="000000"/>
                      <w:szCs w:val="21"/>
                    </w:rPr>
                    <w:t>Hebei College of Science ＆</w:t>
                  </w:r>
                  <w:r>
                    <w:rPr>
                      <w:rFonts w:ascii="Cambria" w:eastAsia="华文楷体" w:hAnsi="Cambria" w:cs="Arial"/>
                      <w:color w:val="000000"/>
                      <w:szCs w:val="21"/>
                    </w:rPr>
                    <w:t>Technology</w:t>
                  </w:r>
                </w:p>
                <w:p/>
              </w:txbxContent>
            </v:textbox>
          </v:shape>
        </w:pict>
      </w:r>
    </w:p>
    <w:p>
      <w:pPr>
        <w:spacing w:line="720" w:lineRule="auto"/>
        <w:jc w:val="center"/>
        <w:rPr>
          <w:rFonts w:ascii="方正黄草简体" w:eastAsia="方正黄草简体" w:hAnsi="华文楷体"/>
          <w:sz w:val="72"/>
          <w:szCs w:val="72"/>
        </w:rPr>
      </w:pPr>
    </w:p>
    <w:p>
      <w:pPr>
        <w:spacing w:line="720" w:lineRule="auto"/>
        <w:jc w:val="center"/>
        <w:rPr>
          <w:rFonts w:ascii="华文楷体" w:eastAsia="华文楷体" w:hAnsi="华文楷体"/>
          <w:sz w:val="24"/>
          <w:szCs w:val="24"/>
        </w:rPr>
      </w:pPr>
    </w:p>
    <w:p>
      <w:pPr>
        <w:jc w:val="center"/>
        <w:rPr>
          <w:rFonts w:ascii="仿宋" w:eastAsia="仿宋" w:hAnsi="仿宋" w:cs="仿宋"/>
          <w:b/>
          <w:sz w:val="56"/>
          <w:szCs w:val="56"/>
        </w:rPr>
      </w:pPr>
    </w:p>
    <w:p>
      <w:pPr>
        <w:spacing w:line="360" w:lineRule="auto"/>
        <w:jc w:val="center"/>
        <w:rPr>
          <w:rFonts w:ascii="微软雅黑" w:eastAsia="微软雅黑" w:hAnsi="微软雅黑"/>
          <w:b/>
          <w:sz w:val="72"/>
          <w:szCs w:val="72"/>
        </w:rPr>
      </w:pPr>
      <w:r>
        <w:rPr>
          <w:rFonts w:ascii="仿宋" w:eastAsia="仿宋" w:hAnsi="仿宋" w:cs="仿宋" w:hint="eastAsia"/>
          <w:b/>
          <w:sz w:val="56"/>
          <w:szCs w:val="56"/>
        </w:rPr>
        <w:t xml:space="preserve">  </w:t>
      </w:r>
      <w:r>
        <w:rPr>
          <w:rFonts w:ascii="微软雅黑" w:eastAsia="微软雅黑" w:hAnsi="微软雅黑" w:hint="eastAsia"/>
          <w:b/>
          <w:sz w:val="72"/>
          <w:szCs w:val="72"/>
        </w:rPr>
        <w:t>“</w:t>
      </w:r>
      <w:r>
        <w:rPr>
          <w:rFonts w:ascii="微软雅黑" w:eastAsia="微软雅黑" w:hAnsi="微软雅黑" w:hint="eastAsia"/>
          <w:b/>
          <w:sz w:val="72"/>
          <w:szCs w:val="72"/>
        </w:rPr>
        <w:t>十三五</w:t>
      </w:r>
      <w:r>
        <w:rPr>
          <w:rFonts w:ascii="微软雅黑" w:eastAsia="微软雅黑" w:hAnsi="微软雅黑" w:hint="eastAsia"/>
          <w:b/>
          <w:sz w:val="72"/>
          <w:szCs w:val="72"/>
        </w:rPr>
        <w:t>”</w:t>
      </w:r>
      <w:r>
        <w:rPr>
          <w:rFonts w:ascii="微软雅黑" w:eastAsia="微软雅黑" w:hAnsi="微软雅黑" w:hint="eastAsia"/>
          <w:b/>
          <w:sz w:val="72"/>
          <w:szCs w:val="72"/>
        </w:rPr>
        <w:t>建设发展规划</w:t>
      </w:r>
    </w:p>
    <w:p>
      <w:pPr>
        <w:ind w:left="2"/>
        <w:jc w:val="center"/>
        <w:rPr>
          <w:sz w:val="52"/>
          <w:szCs w:val="52"/>
        </w:rPr>
      </w:pPr>
      <w:r>
        <w:rPr>
          <w:rFonts w:hAnsi="宋体" w:hint="eastAsia"/>
          <w:sz w:val="52"/>
          <w:szCs w:val="52"/>
        </w:rPr>
        <w:t>（</w:t>
      </w:r>
      <w:r>
        <w:rPr>
          <w:sz w:val="52"/>
          <w:szCs w:val="52"/>
        </w:rPr>
        <w:t>2016-2020</w:t>
      </w:r>
      <w:r>
        <w:rPr>
          <w:rFonts w:hAnsi="宋体" w:hint="eastAsia"/>
          <w:sz w:val="52"/>
          <w:szCs w:val="52"/>
        </w:rPr>
        <w:t>）</w:t>
      </w:r>
    </w:p>
    <w:p>
      <w:pPr>
        <w:jc w:val="center"/>
        <w:rPr>
          <w:b/>
          <w:sz w:val="84"/>
          <w:szCs w:val="84"/>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jc w:val="center"/>
        <w:rPr>
          <w:b/>
          <w:sz w:val="15"/>
          <w:szCs w:val="15"/>
        </w:rPr>
      </w:pPr>
    </w:p>
    <w:p>
      <w:pPr>
        <w:rPr>
          <w:rFonts w:ascii="仿宋" w:eastAsia="仿宋" w:hAnsi="仿宋"/>
          <w:sz w:val="36"/>
          <w:szCs w:val="36"/>
        </w:rPr>
      </w:pPr>
    </w:p>
    <w:p>
      <w:pPr>
        <w:spacing w:before="312" w:beforeLines="100" w:after="312" w:afterLines="100"/>
        <w:ind w:firstLine="803"/>
        <w:jc w:val="center"/>
        <w:rPr>
          <w:rFonts w:ascii="黑体" w:eastAsia="黑体" w:hAnsi="黑体" w:cs="黑体"/>
          <w:b/>
          <w:bCs/>
          <w:sz w:val="40"/>
          <w:szCs w:val="40"/>
        </w:rPr>
        <w:sectPr>
          <w:headerReference w:type="even" r:id="rId7"/>
          <w:headerReference w:type="default" r:id="rId8"/>
          <w:footerReference w:type="default" r:id="rId9"/>
          <w:type w:val="nextPage"/>
          <w:pgSz w:w="11906" w:h="16838"/>
          <w:pgMar w:top="1440" w:right="1800" w:bottom="1440" w:left="1800" w:header="851" w:footer="992" w:gutter="0"/>
          <w:pgNumType w:start="3"/>
          <w:cols w:space="708"/>
          <w:docGrid w:type="lines" w:linePitch="312" w:charSpace="0"/>
        </w:sectPr>
      </w:pPr>
      <w:r>
        <w:rPr>
          <w:rFonts w:ascii="黑体" w:eastAsia="黑体" w:hAnsi="黑体" w:cs="黑体" w:hint="eastAsia"/>
          <w:b/>
          <w:bCs/>
          <w:sz w:val="40"/>
          <w:szCs w:val="40"/>
        </w:rPr>
        <w:t>二〇一六年九月</w:t>
      </w:r>
    </w:p>
    <w:p>
      <w:pPr>
        <w:spacing w:before="312" w:beforeLines="100" w:after="312" w:afterLines="100"/>
        <w:jc w:val="center"/>
        <w:rPr>
          <w:rFonts w:ascii="黑体" w:eastAsia="黑体" w:hAnsi="黑体" w:cs="黑体"/>
          <w:b/>
          <w:bCs/>
          <w:sz w:val="40"/>
          <w:szCs w:val="40"/>
        </w:rPr>
      </w:pPr>
    </w:p>
    <w:p>
      <w:pPr>
        <w:spacing w:before="312" w:beforeLines="100" w:after="312" w:afterLines="100"/>
        <w:jc w:val="center"/>
        <w:rPr>
          <w:rFonts w:ascii="黑体" w:eastAsia="黑体" w:hAnsi="黑体" w:cs="黑体"/>
          <w:b/>
          <w:bCs/>
          <w:sz w:val="44"/>
          <w:szCs w:val="44"/>
        </w:rPr>
      </w:pPr>
    </w:p>
    <w:p>
      <w:pPr>
        <w:spacing w:before="312" w:beforeLines="100" w:after="312" w:afterLines="100"/>
        <w:jc w:val="center"/>
        <w:rPr>
          <w:rFonts w:ascii="黑体" w:eastAsia="黑体" w:hAnsi="黑体" w:cs="黑体"/>
          <w:b/>
          <w:bCs/>
          <w:sz w:val="44"/>
          <w:szCs w:val="44"/>
        </w:rPr>
      </w:pPr>
      <w:r>
        <w:rPr>
          <w:rFonts w:ascii="黑体" w:eastAsia="黑体" w:hAnsi="黑体" w:cs="黑体" w:hint="eastAsia"/>
          <w:b/>
          <w:bCs/>
          <w:sz w:val="44"/>
          <w:szCs w:val="44"/>
        </w:rPr>
        <w:t>目  录</w:t>
      </w:r>
    </w:p>
    <w:p>
      <w:pPr>
        <w:spacing w:before="312" w:beforeLines="100" w:after="312" w:afterLines="100"/>
        <w:jc w:val="center"/>
        <w:rPr>
          <w:rFonts w:ascii="黑体" w:eastAsia="黑体" w:hAnsi="黑体" w:cs="黑体"/>
          <w:b/>
          <w:bCs/>
          <w:sz w:val="44"/>
          <w:szCs w:val="44"/>
        </w:rPr>
      </w:pPr>
    </w:p>
    <w:p>
      <w:pPr>
        <w:pStyle w:val="WPSOffice1"/>
        <w:tabs>
          <w:tab w:val="right" w:leader="dot" w:pos="8868"/>
        </w:tabs>
        <w:spacing w:line="1200" w:lineRule="exact"/>
        <w:rPr>
          <w:sz w:val="28"/>
          <w:szCs w:val="28"/>
        </w:rPr>
      </w:pPr>
      <w:hyperlink w:anchor="_Toc22108_WPSOffice_Level1" w:history="1">
        <w:r>
          <w:rPr>
            <w:rFonts w:ascii="宋体" w:hAnsi="宋体" w:cs="宋体" w:hint="eastAsia"/>
            <w:bCs/>
            <w:sz w:val="36"/>
            <w:szCs w:val="36"/>
          </w:rPr>
          <w:t>“</w:t>
        </w:r>
        <w:r>
          <w:rPr>
            <w:rFonts w:ascii="宋体" w:hAnsi="宋体" w:cs="宋体" w:hint="eastAsia"/>
            <w:bCs/>
            <w:sz w:val="36"/>
            <w:szCs w:val="36"/>
          </w:rPr>
          <w:t>十三五</w:t>
        </w:r>
        <w:r>
          <w:rPr>
            <w:rFonts w:ascii="宋体" w:hAnsi="宋体" w:cs="宋体" w:hint="eastAsia"/>
            <w:bCs/>
            <w:sz w:val="36"/>
            <w:szCs w:val="36"/>
          </w:rPr>
          <w:t>”</w:t>
        </w:r>
        <w:r>
          <w:rPr>
            <w:rFonts w:ascii="宋体" w:hAnsi="宋体" w:cs="宋体" w:hint="eastAsia"/>
            <w:bCs/>
            <w:sz w:val="36"/>
            <w:szCs w:val="36"/>
          </w:rPr>
          <w:t>教育事业发展规划</w:t>
        </w:r>
        <w:r>
          <w:rPr>
            <w:b/>
            <w:bCs/>
            <w:sz w:val="28"/>
            <w:szCs w:val="28"/>
          </w:rPr>
          <w:tab/>
        </w:r>
        <w:bookmarkStart w:id="1" w:name="_Toc22108_WPSOffice_Level1Page"/>
        <w:r>
          <w:rPr>
            <w:b/>
            <w:bCs/>
            <w:sz w:val="28"/>
            <w:szCs w:val="28"/>
          </w:rPr>
          <w:t>1</w:t>
        </w:r>
        <w:bookmarkEnd w:id="1"/>
      </w:hyperlink>
    </w:p>
    <w:p>
      <w:pPr>
        <w:pStyle w:val="WPSOffice1"/>
        <w:tabs>
          <w:tab w:val="right" w:leader="dot" w:pos="8868"/>
        </w:tabs>
        <w:spacing w:line="1200" w:lineRule="exact"/>
        <w:rPr>
          <w:sz w:val="28"/>
          <w:szCs w:val="28"/>
        </w:rPr>
      </w:pPr>
      <w:hyperlink w:anchor="_Toc22108_WPSOffice_Level1" w:history="1">
        <w:r>
          <w:rPr>
            <w:rFonts w:ascii="宋体" w:hAnsi="宋体" w:cs="宋体" w:hint="eastAsia"/>
            <w:bCs/>
            <w:sz w:val="36"/>
            <w:szCs w:val="36"/>
          </w:rPr>
          <w:t>“</w:t>
        </w:r>
        <w:r>
          <w:rPr>
            <w:rFonts w:ascii="宋体" w:hAnsi="宋体" w:cs="宋体" w:hint="eastAsia"/>
            <w:bCs/>
            <w:sz w:val="36"/>
            <w:szCs w:val="36"/>
          </w:rPr>
          <w:t>十三五</w:t>
        </w:r>
        <w:r>
          <w:rPr>
            <w:rFonts w:ascii="宋体" w:hAnsi="宋体" w:cs="宋体" w:hint="eastAsia"/>
            <w:bCs/>
            <w:sz w:val="36"/>
            <w:szCs w:val="36"/>
          </w:rPr>
          <w:t>”</w:t>
        </w:r>
        <w:r>
          <w:rPr>
            <w:rFonts w:ascii="宋体" w:hAnsi="宋体" w:cs="宋体" w:hint="eastAsia"/>
            <w:bCs/>
            <w:sz w:val="36"/>
            <w:szCs w:val="36"/>
          </w:rPr>
          <w:t>学科专业建设规划</w:t>
        </w:r>
        <w:r>
          <w:rPr>
            <w:b/>
            <w:bCs/>
            <w:sz w:val="28"/>
            <w:szCs w:val="28"/>
          </w:rPr>
          <w:tab/>
        </w:r>
      </w:hyperlink>
      <w:r>
        <w:rPr>
          <w:rFonts w:hint="eastAsia"/>
          <w:b/>
          <w:bCs/>
          <w:sz w:val="28"/>
          <w:szCs w:val="28"/>
        </w:rPr>
        <w:t>17</w:t>
      </w:r>
    </w:p>
    <w:p>
      <w:pPr>
        <w:pStyle w:val="WPSOffice1"/>
        <w:tabs>
          <w:tab w:val="right" w:leader="dot" w:pos="8868"/>
        </w:tabs>
        <w:spacing w:line="1200" w:lineRule="exact"/>
        <w:rPr>
          <w:sz w:val="28"/>
          <w:szCs w:val="28"/>
        </w:rPr>
      </w:pPr>
      <w:hyperlink w:anchor="_Toc22108_WPSOffice_Level1" w:history="1">
        <w:r>
          <w:rPr>
            <w:rFonts w:ascii="宋体" w:hAnsi="宋体" w:cs="宋体" w:hint="eastAsia"/>
            <w:bCs/>
            <w:sz w:val="36"/>
            <w:szCs w:val="36"/>
          </w:rPr>
          <w:t>“</w:t>
        </w:r>
        <w:r>
          <w:rPr>
            <w:rFonts w:ascii="宋体" w:hAnsi="宋体" w:cs="宋体" w:hint="eastAsia"/>
            <w:bCs/>
            <w:sz w:val="36"/>
            <w:szCs w:val="36"/>
          </w:rPr>
          <w:t>十三五</w:t>
        </w:r>
        <w:r>
          <w:rPr>
            <w:rFonts w:ascii="宋体" w:hAnsi="宋体" w:cs="宋体" w:hint="eastAsia"/>
            <w:bCs/>
            <w:sz w:val="36"/>
            <w:szCs w:val="36"/>
          </w:rPr>
          <w:t>”</w:t>
        </w:r>
        <w:r>
          <w:rPr>
            <w:rFonts w:ascii="宋体" w:hAnsi="宋体" w:cs="宋体" w:hint="eastAsia"/>
            <w:bCs/>
            <w:sz w:val="36"/>
            <w:szCs w:val="36"/>
          </w:rPr>
          <w:t>师资队伍建设规划</w:t>
        </w:r>
        <w:r>
          <w:rPr>
            <w:b/>
            <w:bCs/>
            <w:sz w:val="28"/>
            <w:szCs w:val="28"/>
          </w:rPr>
          <w:tab/>
        </w:r>
      </w:hyperlink>
      <w:r>
        <w:rPr>
          <w:rFonts w:hint="eastAsia"/>
          <w:b/>
          <w:bCs/>
          <w:sz w:val="28"/>
          <w:szCs w:val="28"/>
        </w:rPr>
        <w:t>29</w:t>
      </w:r>
    </w:p>
    <w:p>
      <w:pPr>
        <w:pStyle w:val="WPSOffice1"/>
        <w:tabs>
          <w:tab w:val="right" w:leader="dot" w:pos="8868"/>
        </w:tabs>
        <w:spacing w:line="1200" w:lineRule="exact"/>
        <w:rPr>
          <w:sz w:val="28"/>
          <w:szCs w:val="28"/>
        </w:rPr>
      </w:pPr>
      <w:hyperlink w:anchor="_Toc22108_WPSOffice_Level1" w:history="1">
        <w:r>
          <w:rPr>
            <w:rFonts w:ascii="宋体" w:hAnsi="宋体" w:cs="宋体" w:hint="eastAsia"/>
            <w:bCs/>
            <w:sz w:val="36"/>
            <w:szCs w:val="36"/>
          </w:rPr>
          <w:t>“</w:t>
        </w:r>
        <w:r>
          <w:rPr>
            <w:rFonts w:ascii="宋体" w:hAnsi="宋体" w:cs="宋体" w:hint="eastAsia"/>
            <w:bCs/>
            <w:sz w:val="36"/>
            <w:szCs w:val="36"/>
          </w:rPr>
          <w:t>十三五</w:t>
        </w:r>
        <w:r>
          <w:rPr>
            <w:rFonts w:ascii="宋体" w:hAnsi="宋体" w:cs="宋体" w:hint="eastAsia"/>
            <w:bCs/>
            <w:sz w:val="36"/>
            <w:szCs w:val="36"/>
          </w:rPr>
          <w:t>”</w:t>
        </w:r>
        <w:r>
          <w:rPr>
            <w:rFonts w:ascii="宋体" w:hAnsi="宋体" w:cs="宋体" w:hint="eastAsia"/>
            <w:bCs/>
            <w:sz w:val="36"/>
            <w:szCs w:val="36"/>
          </w:rPr>
          <w:t>校园建设规划</w:t>
        </w:r>
        <w:r>
          <w:rPr>
            <w:b/>
            <w:bCs/>
            <w:sz w:val="28"/>
            <w:szCs w:val="28"/>
          </w:rPr>
          <w:tab/>
        </w:r>
      </w:hyperlink>
      <w:r>
        <w:rPr>
          <w:rFonts w:hint="eastAsia"/>
          <w:b/>
          <w:bCs/>
          <w:sz w:val="28"/>
          <w:szCs w:val="28"/>
        </w:rPr>
        <w:t>35</w:t>
      </w:r>
    </w:p>
    <w:p>
      <w:pPr>
        <w:pStyle w:val="WPSOffice1"/>
        <w:tabs>
          <w:tab w:val="right" w:leader="dot" w:pos="8868"/>
        </w:tabs>
        <w:spacing w:line="1200" w:lineRule="exact"/>
        <w:rPr>
          <w:sz w:val="28"/>
          <w:szCs w:val="28"/>
        </w:rPr>
      </w:pPr>
      <w:hyperlink w:anchor="_Toc22108_WPSOffice_Level1" w:history="1">
        <w:r>
          <w:rPr>
            <w:rFonts w:ascii="宋体" w:hAnsi="宋体" w:cs="宋体" w:hint="eastAsia"/>
            <w:bCs/>
            <w:sz w:val="36"/>
            <w:szCs w:val="36"/>
          </w:rPr>
          <w:t>“</w:t>
        </w:r>
        <w:r>
          <w:rPr>
            <w:rFonts w:ascii="宋体" w:hAnsi="宋体" w:cs="宋体" w:hint="eastAsia"/>
            <w:bCs/>
            <w:sz w:val="36"/>
            <w:szCs w:val="36"/>
          </w:rPr>
          <w:t>十三五</w:t>
        </w:r>
        <w:r>
          <w:rPr>
            <w:rFonts w:ascii="宋体" w:hAnsi="宋体" w:cs="宋体" w:hint="eastAsia"/>
            <w:bCs/>
            <w:sz w:val="36"/>
            <w:szCs w:val="36"/>
          </w:rPr>
          <w:t>”</w:t>
        </w:r>
        <w:r>
          <w:rPr>
            <w:rFonts w:ascii="宋体" w:hAnsi="宋体" w:cs="宋体" w:hint="eastAsia"/>
            <w:bCs/>
            <w:sz w:val="36"/>
            <w:szCs w:val="36"/>
          </w:rPr>
          <w:t>信息化建设发展规划</w:t>
        </w:r>
        <w:r>
          <w:rPr>
            <w:b/>
            <w:bCs/>
            <w:sz w:val="28"/>
            <w:szCs w:val="28"/>
          </w:rPr>
          <w:tab/>
        </w:r>
      </w:hyperlink>
      <w:r>
        <w:rPr>
          <w:rFonts w:hint="eastAsia"/>
          <w:b/>
          <w:bCs/>
          <w:sz w:val="28"/>
          <w:szCs w:val="28"/>
        </w:rPr>
        <w:t>45</w:t>
      </w:r>
    </w:p>
    <w:p>
      <w:pPr>
        <w:spacing w:line="1200" w:lineRule="exact"/>
        <w:jc w:val="left"/>
        <w:rPr>
          <w:rFonts w:ascii="宋体" w:eastAsia="宋体" w:hAnsi="宋体" w:cs="宋体"/>
          <w:bCs/>
          <w:sz w:val="52"/>
          <w:szCs w:val="52"/>
        </w:rPr>
      </w:pPr>
    </w:p>
    <w:p>
      <w:pPr>
        <w:spacing w:line="360" w:lineRule="auto"/>
        <w:jc w:val="center"/>
        <w:rPr>
          <w:rFonts w:ascii="微软雅黑" w:eastAsia="微软雅黑" w:hAnsi="微软雅黑"/>
          <w:b/>
          <w:sz w:val="52"/>
          <w:szCs w:val="52"/>
        </w:rPr>
      </w:pPr>
    </w:p>
    <w:p>
      <w:pPr>
        <w:spacing w:before="312" w:beforeLines="100" w:after="312" w:afterLines="100"/>
        <w:jc w:val="center"/>
        <w:rPr>
          <w:rFonts w:ascii="黑体" w:eastAsia="黑体" w:hAnsi="黑体" w:cs="黑体"/>
          <w:b/>
          <w:bCs/>
          <w:sz w:val="44"/>
          <w:szCs w:val="44"/>
        </w:rPr>
      </w:pPr>
    </w:p>
    <w:p>
      <w:pPr>
        <w:spacing w:before="312" w:beforeLines="100" w:after="312" w:afterLines="100"/>
        <w:jc w:val="center"/>
        <w:rPr>
          <w:rFonts w:ascii="黑体" w:eastAsia="黑体" w:hAnsi="黑体" w:cs="黑体"/>
          <w:b/>
          <w:bCs/>
          <w:sz w:val="44"/>
          <w:szCs w:val="44"/>
        </w:rPr>
        <w:sectPr>
          <w:pgSz w:w="11906" w:h="16838"/>
          <w:pgMar w:top="1440" w:right="1800" w:bottom="1440" w:left="1800" w:header="851" w:footer="992" w:gutter="0"/>
          <w:pgNumType w:start="3"/>
          <w:cols w:space="708"/>
          <w:docGrid w:type="lines" w:linePitch="312" w:charSpace="0"/>
        </w:sectPr>
      </w:pPr>
    </w:p>
    <w:p>
      <w:pPr>
        <w:spacing w:line="360" w:lineRule="auto"/>
        <w:ind w:firstLine="180" w:firstLineChars="50"/>
        <w:rPr>
          <w:rFonts w:ascii="方正黄草简体" w:eastAsia="方正黄草简体"/>
          <w:sz w:val="36"/>
          <w:szCs w:val="36"/>
        </w:rPr>
      </w:pPr>
    </w:p>
    <w:p>
      <w:pPr>
        <w:spacing w:line="360" w:lineRule="auto"/>
        <w:ind w:firstLine="360" w:firstLineChars="50"/>
        <w:rPr>
          <w:rFonts w:ascii="方正黄草简体" w:eastAsia="方正黄草简体"/>
          <w:sz w:val="36"/>
          <w:szCs w:val="36"/>
        </w:rPr>
      </w:pPr>
      <w:r>
        <w:rPr>
          <w:rFonts w:ascii="方正黄草简体" w:eastAsia="方正黄草简体" w:hAnsi="华文楷体"/>
          <w:sz w:val="72"/>
          <w:szCs w:val="72"/>
        </w:rPr>
        <w:pict>
          <v:shape id="图片 1" o:spid="_x0000_s1027" type="#_x0000_t75" alt="H:\合格评估\河北科技学院合格评估院长报告、领导致辞\校徽1.png" style="width:78.65pt;height:68.2pt;margin-top:23.2pt;margin-left:2.8pt;mso-wrap-distance-left:5.65pt;mso-wrap-distance-right:2.85pt;position:absolute;z-index:251660288" o:preferrelative="t" filled="f" stroked="f">
            <v:fill o:detectmouseclick="t"/>
            <v:imagedata r:id="rId10" o:title="H:\合格评估\河北科技学院合格评估院长报告、领导致辞\校徽1.png"/>
            <v:path o:extrusionok="f"/>
            <o:lock v:ext="edit" aspectratio="t"/>
            <w10:wrap type="square"/>
          </v:shape>
        </w:pict>
      </w:r>
    </w:p>
    <w:p>
      <w:pPr>
        <w:spacing w:line="360" w:lineRule="auto"/>
        <w:rPr>
          <w:rFonts w:ascii="方正黄草简体" w:eastAsia="方正黄草简体"/>
          <w:sz w:val="48"/>
          <w:szCs w:val="48"/>
        </w:rPr>
      </w:pPr>
      <w:r>
        <w:rPr>
          <w:rFonts w:ascii="方正黄草简体" w:eastAsia="方正黄草简体" w:hint="eastAsia"/>
          <w:sz w:val="48"/>
          <w:szCs w:val="48"/>
        </w:rPr>
        <w:t>河北科技学院</w:t>
      </w:r>
    </w:p>
    <w:p>
      <w:pPr>
        <w:spacing w:line="360" w:lineRule="auto"/>
        <w:rPr>
          <w:rFonts w:ascii="宋体" w:hAnsi="宋体"/>
          <w:b/>
          <w:sz w:val="52"/>
          <w:szCs w:val="52"/>
        </w:rPr>
      </w:pPr>
    </w:p>
    <w:p>
      <w:pPr>
        <w:spacing w:line="360" w:lineRule="auto"/>
        <w:rPr>
          <w:rFonts w:ascii="宋体" w:hAnsi="宋体"/>
          <w:b/>
          <w:sz w:val="52"/>
          <w:szCs w:val="52"/>
        </w:rPr>
      </w:pPr>
    </w:p>
    <w:p>
      <w:pPr>
        <w:spacing w:line="360" w:lineRule="auto"/>
        <w:jc w:val="center"/>
        <w:rPr>
          <w:rFonts w:ascii="微软雅黑" w:eastAsia="微软雅黑" w:hAnsi="微软雅黑"/>
          <w:b/>
          <w:sz w:val="56"/>
          <w:szCs w:val="56"/>
        </w:rPr>
      </w:pPr>
      <w:r>
        <w:rPr>
          <w:rFonts w:ascii="微软雅黑" w:eastAsia="微软雅黑" w:hAnsi="微软雅黑" w:hint="eastAsia"/>
          <w:b/>
          <w:sz w:val="56"/>
          <w:szCs w:val="56"/>
        </w:rPr>
        <w:t>“</w:t>
      </w:r>
      <w:r>
        <w:rPr>
          <w:rFonts w:ascii="微软雅黑" w:eastAsia="微软雅黑" w:hAnsi="微软雅黑" w:hint="eastAsia"/>
          <w:b/>
          <w:sz w:val="56"/>
          <w:szCs w:val="56"/>
        </w:rPr>
        <w:t>十三五</w:t>
      </w:r>
      <w:r>
        <w:rPr>
          <w:rFonts w:ascii="微软雅黑" w:eastAsia="微软雅黑" w:hAnsi="微软雅黑" w:hint="eastAsia"/>
          <w:b/>
          <w:sz w:val="56"/>
          <w:szCs w:val="56"/>
        </w:rPr>
        <w:t>”</w:t>
      </w:r>
      <w:r>
        <w:rPr>
          <w:rFonts w:ascii="微软雅黑" w:eastAsia="微软雅黑" w:hAnsi="微软雅黑" w:hint="eastAsia"/>
          <w:b/>
          <w:sz w:val="56"/>
          <w:szCs w:val="56"/>
        </w:rPr>
        <w:t>教育事业发展规划</w:t>
      </w:r>
    </w:p>
    <w:p>
      <w:pPr>
        <w:ind w:left="2"/>
        <w:jc w:val="center"/>
        <w:rPr>
          <w:sz w:val="44"/>
          <w:szCs w:val="44"/>
        </w:rPr>
      </w:pPr>
      <w:r>
        <w:rPr>
          <w:rFonts w:hAnsi="宋体"/>
          <w:sz w:val="44"/>
          <w:szCs w:val="44"/>
        </w:rPr>
        <w:t>（</w:t>
      </w:r>
      <w:r>
        <w:rPr>
          <w:sz w:val="44"/>
          <w:szCs w:val="44"/>
        </w:rPr>
        <w:t>2016-2020</w:t>
      </w:r>
      <w:r>
        <w:rPr>
          <w:rFonts w:hAnsi="宋体" w:hint="eastAsia"/>
          <w:sz w:val="44"/>
          <w:szCs w:val="44"/>
        </w:rPr>
        <w:t>）</w:t>
      </w: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480" w:lineRule="exact"/>
        <w:jc w:val="center"/>
        <w:rPr>
          <w:rFonts w:ascii="仿宋_GB2312" w:eastAsia="仿宋_GB2312" w:cs="仿宋_GB2312"/>
          <w:b/>
          <w:sz w:val="36"/>
          <w:szCs w:val="36"/>
        </w:rPr>
      </w:pPr>
      <w:r>
        <w:rPr>
          <w:rFonts w:ascii="仿宋_GB2312" w:eastAsia="仿宋_GB2312" w:cs="仿宋_GB2312" w:hint="eastAsia"/>
          <w:b/>
          <w:sz w:val="36"/>
          <w:szCs w:val="36"/>
        </w:rPr>
        <w:t>教育事业发展规划组</w:t>
      </w:r>
    </w:p>
    <w:p>
      <w:pPr>
        <w:spacing w:line="480" w:lineRule="exact"/>
        <w:jc w:val="center"/>
        <w:rPr>
          <w:rFonts w:ascii="仿宋_GB2312" w:eastAsia="仿宋_GB2312" w:cs="仿宋_GB2312"/>
          <w:b/>
          <w:sz w:val="36"/>
          <w:szCs w:val="36"/>
        </w:rPr>
        <w:sectPr>
          <w:pgSz w:w="11906" w:h="16838"/>
          <w:pgMar w:top="1440" w:right="1800" w:bottom="1440" w:left="1800" w:header="851" w:footer="992" w:gutter="0"/>
          <w:pgNumType w:start="3"/>
          <w:cols w:space="708"/>
          <w:docGrid w:type="lines" w:linePitch="312" w:charSpace="0"/>
        </w:sectPr>
      </w:pPr>
      <w:r>
        <w:rPr>
          <w:rFonts w:ascii="仿宋_GB2312" w:eastAsia="仿宋_GB2312" w:cs="仿宋_GB2312" w:hint="eastAsia"/>
          <w:b/>
          <w:sz w:val="36"/>
          <w:szCs w:val="36"/>
        </w:rPr>
        <w:br w:type="page"/>
      </w:r>
    </w:p>
    <w:p>
      <w:pPr>
        <w:spacing w:line="420" w:lineRule="exact"/>
        <w:jc w:val="center"/>
        <w:rPr>
          <w:b/>
          <w:bCs/>
          <w:sz w:val="36"/>
          <w:szCs w:val="36"/>
        </w:rPr>
      </w:pPr>
      <w:bookmarkStart w:id="2" w:name="_Toc10248_WPSOffice_Type3"/>
      <w:r>
        <w:rPr>
          <w:rFonts w:ascii="宋体" w:hAnsi="宋体"/>
          <w:b/>
          <w:bCs/>
          <w:sz w:val="36"/>
          <w:szCs w:val="36"/>
        </w:rPr>
        <w:t>目</w:t>
      </w:r>
      <w:r>
        <w:rPr>
          <w:rFonts w:ascii="宋体" w:hAnsi="宋体" w:hint="eastAsia"/>
          <w:b/>
          <w:bCs/>
          <w:sz w:val="36"/>
          <w:szCs w:val="36"/>
        </w:rPr>
        <w:t xml:space="preserve"> </w:t>
      </w:r>
      <w:r>
        <w:rPr>
          <w:rFonts w:ascii="宋体" w:hAnsi="宋体"/>
          <w:b/>
          <w:bCs/>
          <w:sz w:val="36"/>
          <w:szCs w:val="36"/>
        </w:rPr>
        <w:t>录</w:t>
      </w:r>
    </w:p>
    <w:p>
      <w:pPr>
        <w:pStyle w:val="WPSOffice1"/>
        <w:tabs>
          <w:tab w:val="right" w:leader="dot" w:pos="8306"/>
        </w:tabs>
        <w:spacing w:line="420" w:lineRule="exact"/>
        <w:rPr>
          <w:sz w:val="28"/>
          <w:szCs w:val="28"/>
        </w:rPr>
      </w:pPr>
      <w:hyperlink w:anchor="_Toc6373_WPSOffice_Level1" w:history="1">
        <w:r>
          <w:rPr>
            <w:rFonts w:ascii="黑体" w:eastAsia="黑体" w:hAnsi="黑体"/>
            <w:sz w:val="28"/>
            <w:szCs w:val="28"/>
          </w:rPr>
          <w:t>一、现实基础和发展依据</w:t>
        </w:r>
        <w:r>
          <w:rPr>
            <w:sz w:val="28"/>
            <w:szCs w:val="28"/>
          </w:rPr>
          <w:tab/>
        </w:r>
        <w:bookmarkStart w:id="3" w:name="_Toc6373_WPSOffice_Level1Page"/>
        <w:r>
          <w:rPr>
            <w:sz w:val="28"/>
            <w:szCs w:val="28"/>
          </w:rPr>
          <w:t>1</w:t>
        </w:r>
        <w:bookmarkEnd w:id="3"/>
      </w:hyperlink>
    </w:p>
    <w:p>
      <w:pPr>
        <w:pStyle w:val="WPSOffice2"/>
        <w:tabs>
          <w:tab w:val="right" w:leader="dot" w:pos="8306"/>
        </w:tabs>
        <w:spacing w:line="420" w:lineRule="exact"/>
        <w:ind w:left="420"/>
        <w:rPr>
          <w:sz w:val="28"/>
          <w:szCs w:val="28"/>
        </w:rPr>
      </w:pPr>
      <w:hyperlink w:anchor="_Toc10248_WPSOffice_Level2" w:history="1">
        <w:r>
          <w:rPr>
            <w:rFonts w:ascii="楷体" w:eastAsia="楷体" w:hAnsi="楷体" w:cs="楷体" w:hint="eastAsia"/>
            <w:sz w:val="28"/>
            <w:szCs w:val="28"/>
          </w:rPr>
          <w:t>(一) 现实基础</w:t>
        </w:r>
        <w:r>
          <w:rPr>
            <w:sz w:val="28"/>
            <w:szCs w:val="28"/>
          </w:rPr>
          <w:tab/>
        </w:r>
        <w:bookmarkStart w:id="4" w:name="_Toc10248_WPSOffice_Level2Page"/>
        <w:r>
          <w:rPr>
            <w:sz w:val="28"/>
            <w:szCs w:val="28"/>
          </w:rPr>
          <w:t>1</w:t>
        </w:r>
        <w:bookmarkEnd w:id="4"/>
      </w:hyperlink>
    </w:p>
    <w:p>
      <w:pPr>
        <w:pStyle w:val="WPSOffice2"/>
        <w:tabs>
          <w:tab w:val="right" w:leader="dot" w:pos="8306"/>
        </w:tabs>
        <w:spacing w:line="420" w:lineRule="exact"/>
        <w:ind w:left="420"/>
        <w:rPr>
          <w:sz w:val="28"/>
          <w:szCs w:val="28"/>
        </w:rPr>
      </w:pPr>
      <w:hyperlink w:anchor="_Toc12206_WPSOffice_Level2" w:history="1">
        <w:r>
          <w:rPr>
            <w:rFonts w:ascii="楷体" w:eastAsia="楷体" w:hAnsi="楷体" w:cs="楷体" w:hint="eastAsia"/>
            <w:sz w:val="28"/>
            <w:szCs w:val="28"/>
          </w:rPr>
          <w:t>(二) 发展依据</w:t>
        </w:r>
        <w:r>
          <w:rPr>
            <w:sz w:val="28"/>
            <w:szCs w:val="28"/>
          </w:rPr>
          <w:tab/>
        </w:r>
        <w:bookmarkStart w:id="5" w:name="_Toc12206_WPSOffice_Level2Page"/>
        <w:r>
          <w:rPr>
            <w:sz w:val="28"/>
            <w:szCs w:val="28"/>
          </w:rPr>
          <w:t>3</w:t>
        </w:r>
        <w:bookmarkEnd w:id="5"/>
      </w:hyperlink>
    </w:p>
    <w:p>
      <w:pPr>
        <w:pStyle w:val="WPSOffice1"/>
        <w:tabs>
          <w:tab w:val="right" w:leader="dot" w:pos="8306"/>
        </w:tabs>
        <w:spacing w:line="420" w:lineRule="exact"/>
        <w:rPr>
          <w:sz w:val="28"/>
          <w:szCs w:val="28"/>
        </w:rPr>
      </w:pPr>
      <w:hyperlink w:anchor="_Toc17911_WPSOffice_Level1" w:history="1">
        <w:r>
          <w:rPr>
            <w:rFonts w:ascii="黑体" w:eastAsia="黑体" w:hAnsi="黑体"/>
            <w:sz w:val="28"/>
            <w:szCs w:val="28"/>
          </w:rPr>
          <w:t>二、指导思想</w:t>
        </w:r>
        <w:r>
          <w:rPr>
            <w:rFonts w:ascii="黑体" w:eastAsia="黑体" w:hAnsi="黑体" w:hint="eastAsia"/>
            <w:sz w:val="28"/>
            <w:szCs w:val="28"/>
          </w:rPr>
          <w:t>、办学定位与</w:t>
        </w:r>
        <w:r>
          <w:rPr>
            <w:rFonts w:ascii="黑体" w:eastAsia="黑体" w:hAnsi="黑体"/>
            <w:sz w:val="28"/>
            <w:szCs w:val="28"/>
          </w:rPr>
          <w:t>发展目标</w:t>
        </w:r>
        <w:r>
          <w:rPr>
            <w:sz w:val="28"/>
            <w:szCs w:val="28"/>
          </w:rPr>
          <w:tab/>
        </w:r>
        <w:r>
          <w:rPr>
            <w:rFonts w:hint="eastAsia"/>
            <w:sz w:val="28"/>
            <w:szCs w:val="28"/>
          </w:rPr>
          <w:t>4</w:t>
        </w:r>
      </w:hyperlink>
    </w:p>
    <w:p>
      <w:pPr>
        <w:pStyle w:val="WPSOffice2"/>
        <w:tabs>
          <w:tab w:val="right" w:leader="dot" w:pos="8306"/>
        </w:tabs>
        <w:spacing w:line="420" w:lineRule="exact"/>
        <w:ind w:left="420"/>
        <w:rPr>
          <w:sz w:val="28"/>
          <w:szCs w:val="28"/>
        </w:rPr>
      </w:pPr>
      <w:hyperlink w:anchor="_Toc6373_WPSOffice_Level2" w:history="1">
        <w:r>
          <w:rPr>
            <w:rFonts w:ascii="楷体" w:eastAsia="楷体" w:hAnsi="楷体" w:cs="楷体" w:hint="eastAsia"/>
            <w:sz w:val="28"/>
            <w:szCs w:val="28"/>
          </w:rPr>
          <w:t>（一）指导思想</w:t>
        </w:r>
        <w:r>
          <w:rPr>
            <w:sz w:val="28"/>
            <w:szCs w:val="28"/>
          </w:rPr>
          <w:tab/>
        </w:r>
        <w:r>
          <w:rPr>
            <w:rFonts w:hint="eastAsia"/>
            <w:sz w:val="28"/>
            <w:szCs w:val="28"/>
          </w:rPr>
          <w:t>4</w:t>
        </w:r>
      </w:hyperlink>
    </w:p>
    <w:p>
      <w:pPr>
        <w:pStyle w:val="WPSOffice2"/>
        <w:tabs>
          <w:tab w:val="right" w:leader="dot" w:pos="8306"/>
        </w:tabs>
        <w:spacing w:line="420" w:lineRule="exact"/>
        <w:ind w:left="420"/>
        <w:rPr>
          <w:sz w:val="28"/>
          <w:szCs w:val="28"/>
        </w:rPr>
      </w:pPr>
      <w:hyperlink w:anchor="_Toc17911_WPSOffice_Level2" w:history="1">
        <w:r>
          <w:rPr>
            <w:rFonts w:ascii="楷体" w:eastAsia="楷体" w:hAnsi="楷体" w:cs="楷体" w:hint="eastAsia"/>
            <w:sz w:val="28"/>
            <w:szCs w:val="28"/>
          </w:rPr>
          <w:t>（二）办学定位</w:t>
        </w:r>
        <w:r>
          <w:rPr>
            <w:sz w:val="28"/>
            <w:szCs w:val="28"/>
          </w:rPr>
          <w:tab/>
        </w:r>
        <w:r>
          <w:rPr>
            <w:rFonts w:hint="eastAsia"/>
            <w:sz w:val="28"/>
            <w:szCs w:val="28"/>
          </w:rPr>
          <w:t>5</w:t>
        </w:r>
      </w:hyperlink>
    </w:p>
    <w:p>
      <w:pPr>
        <w:pStyle w:val="WPSOffice2"/>
        <w:tabs>
          <w:tab w:val="right" w:leader="dot" w:pos="8306"/>
        </w:tabs>
        <w:spacing w:line="420" w:lineRule="exact"/>
        <w:ind w:left="420"/>
        <w:rPr>
          <w:sz w:val="28"/>
          <w:szCs w:val="28"/>
        </w:rPr>
      </w:pPr>
      <w:hyperlink w:anchor="_Toc2317_WPSOffice_Level2" w:history="1">
        <w:r>
          <w:rPr>
            <w:rFonts w:ascii="楷体" w:eastAsia="楷体" w:hAnsi="楷体" w:hint="eastAsia"/>
            <w:sz w:val="28"/>
            <w:szCs w:val="28"/>
          </w:rPr>
          <w:t>（三）发展目标</w:t>
        </w:r>
        <w:r>
          <w:rPr>
            <w:sz w:val="28"/>
            <w:szCs w:val="28"/>
          </w:rPr>
          <w:tab/>
        </w:r>
        <w:r>
          <w:rPr>
            <w:rFonts w:hint="eastAsia"/>
            <w:sz w:val="28"/>
            <w:szCs w:val="28"/>
          </w:rPr>
          <w:t>5</w:t>
        </w:r>
      </w:hyperlink>
    </w:p>
    <w:p>
      <w:pPr>
        <w:pStyle w:val="WPSOffice3"/>
        <w:tabs>
          <w:tab w:val="right" w:leader="dot" w:pos="8306"/>
        </w:tabs>
        <w:spacing w:line="420" w:lineRule="exact"/>
        <w:ind w:left="840"/>
        <w:rPr>
          <w:sz w:val="28"/>
          <w:szCs w:val="28"/>
        </w:rPr>
      </w:pPr>
      <w:hyperlink w:anchor="_Toc10248_WPSOffice_Level3" w:history="1">
        <w:r>
          <w:rPr>
            <w:rFonts w:ascii="仿宋" w:eastAsia="仿宋" w:hAnsi="仿宋" w:hint="eastAsia"/>
            <w:sz w:val="28"/>
            <w:szCs w:val="28"/>
          </w:rPr>
          <w:t>1.</w:t>
        </w:r>
        <w:r>
          <w:rPr>
            <w:rFonts w:ascii="仿宋" w:eastAsia="仿宋" w:hAnsi="仿宋"/>
            <w:sz w:val="28"/>
            <w:szCs w:val="28"/>
          </w:rPr>
          <w:t>总体目标</w:t>
        </w:r>
        <w:r>
          <w:rPr>
            <w:sz w:val="28"/>
            <w:szCs w:val="28"/>
          </w:rPr>
          <w:tab/>
        </w:r>
        <w:r>
          <w:rPr>
            <w:rFonts w:hint="eastAsia"/>
            <w:sz w:val="28"/>
            <w:szCs w:val="28"/>
          </w:rPr>
          <w:t>5</w:t>
        </w:r>
      </w:hyperlink>
    </w:p>
    <w:p>
      <w:pPr>
        <w:pStyle w:val="WPSOffice3"/>
        <w:tabs>
          <w:tab w:val="right" w:leader="dot" w:pos="8306"/>
        </w:tabs>
        <w:spacing w:line="420" w:lineRule="exact"/>
        <w:ind w:left="840"/>
        <w:rPr>
          <w:sz w:val="28"/>
          <w:szCs w:val="28"/>
        </w:rPr>
      </w:pPr>
      <w:hyperlink w:anchor="_Toc12206_WPSOffice_Level3" w:history="1">
        <w:r>
          <w:rPr>
            <w:rFonts w:ascii="仿宋" w:eastAsia="仿宋" w:hAnsi="仿宋" w:hint="eastAsia"/>
            <w:sz w:val="28"/>
            <w:szCs w:val="28"/>
          </w:rPr>
          <w:t>2.</w:t>
        </w:r>
        <w:r>
          <w:rPr>
            <w:rFonts w:ascii="仿宋" w:eastAsia="仿宋" w:hAnsi="仿宋"/>
            <w:sz w:val="28"/>
            <w:szCs w:val="28"/>
          </w:rPr>
          <w:t>具体目标</w:t>
        </w:r>
        <w:r>
          <w:rPr>
            <w:sz w:val="28"/>
            <w:szCs w:val="28"/>
          </w:rPr>
          <w:tab/>
        </w:r>
        <w:r>
          <w:rPr>
            <w:rFonts w:hint="eastAsia"/>
            <w:sz w:val="28"/>
            <w:szCs w:val="28"/>
          </w:rPr>
          <w:t>7</w:t>
        </w:r>
      </w:hyperlink>
    </w:p>
    <w:p>
      <w:pPr>
        <w:pStyle w:val="WPSOffice1"/>
        <w:tabs>
          <w:tab w:val="right" w:leader="dot" w:pos="8306"/>
        </w:tabs>
        <w:spacing w:line="420" w:lineRule="exact"/>
        <w:rPr>
          <w:sz w:val="28"/>
          <w:szCs w:val="28"/>
        </w:rPr>
      </w:pPr>
      <w:hyperlink w:anchor="_Toc2317_WPSOffice_Level1" w:history="1">
        <w:r>
          <w:rPr>
            <w:rFonts w:ascii="黑体" w:eastAsia="黑体" w:hAnsi="黑体"/>
            <w:sz w:val="28"/>
            <w:szCs w:val="28"/>
          </w:rPr>
          <w:t>三、主要</w:t>
        </w:r>
        <w:r>
          <w:rPr>
            <w:rFonts w:ascii="黑体" w:eastAsia="黑体" w:hAnsi="黑体" w:hint="eastAsia"/>
            <w:sz w:val="28"/>
            <w:szCs w:val="28"/>
          </w:rPr>
          <w:t>举措</w:t>
        </w:r>
        <w:r>
          <w:rPr>
            <w:sz w:val="28"/>
            <w:szCs w:val="28"/>
          </w:rPr>
          <w:tab/>
        </w:r>
        <w:r>
          <w:rPr>
            <w:rFonts w:hint="eastAsia"/>
            <w:sz w:val="28"/>
            <w:szCs w:val="28"/>
          </w:rPr>
          <w:t>8</w:t>
        </w:r>
      </w:hyperlink>
    </w:p>
    <w:p>
      <w:pPr>
        <w:pStyle w:val="WPSOffice2"/>
        <w:tabs>
          <w:tab w:val="right" w:leader="dot" w:pos="8306"/>
        </w:tabs>
        <w:spacing w:line="420" w:lineRule="exact"/>
        <w:ind w:left="420"/>
        <w:rPr>
          <w:sz w:val="28"/>
          <w:szCs w:val="28"/>
        </w:rPr>
      </w:pPr>
      <w:hyperlink w:anchor="_Toc5014_WPSOffice_Level2" w:history="1">
        <w:r>
          <w:rPr>
            <w:rFonts w:ascii="楷体" w:eastAsia="楷体" w:hAnsi="楷体" w:cs="楷体" w:hint="eastAsia"/>
            <w:sz w:val="28"/>
            <w:szCs w:val="28"/>
          </w:rPr>
          <w:t>（一）优化专业布局，加强重点专业建设工程</w:t>
        </w:r>
        <w:r>
          <w:rPr>
            <w:sz w:val="28"/>
            <w:szCs w:val="28"/>
          </w:rPr>
          <w:tab/>
        </w:r>
        <w:r>
          <w:rPr>
            <w:rFonts w:hint="eastAsia"/>
            <w:sz w:val="28"/>
            <w:szCs w:val="28"/>
          </w:rPr>
          <w:t>8</w:t>
        </w:r>
      </w:hyperlink>
    </w:p>
    <w:p>
      <w:pPr>
        <w:pStyle w:val="WPSOffice2"/>
        <w:tabs>
          <w:tab w:val="right" w:leader="dot" w:pos="8306"/>
        </w:tabs>
        <w:spacing w:line="420" w:lineRule="exact"/>
        <w:ind w:left="420"/>
        <w:rPr>
          <w:sz w:val="28"/>
          <w:szCs w:val="28"/>
        </w:rPr>
      </w:pPr>
      <w:hyperlink w:anchor="_Toc8336_WPSOffice_Level2" w:history="1">
        <w:r>
          <w:rPr>
            <w:rFonts w:ascii="楷体" w:eastAsia="楷体" w:hAnsi="楷体" w:cs="楷体" w:hint="eastAsia"/>
            <w:sz w:val="28"/>
            <w:szCs w:val="28"/>
          </w:rPr>
          <w:t>（二）实施人才强校战略，加强人才和师资队伍建设工程</w:t>
        </w:r>
        <w:r>
          <w:rPr>
            <w:sz w:val="28"/>
            <w:szCs w:val="28"/>
          </w:rPr>
          <w:tab/>
        </w:r>
        <w:r>
          <w:rPr>
            <w:rFonts w:hint="eastAsia"/>
            <w:sz w:val="28"/>
            <w:szCs w:val="28"/>
          </w:rPr>
          <w:t>9</w:t>
        </w:r>
      </w:hyperlink>
    </w:p>
    <w:p>
      <w:pPr>
        <w:pStyle w:val="WPSOffice2"/>
        <w:tabs>
          <w:tab w:val="right" w:leader="dot" w:pos="8306"/>
        </w:tabs>
        <w:spacing w:line="420" w:lineRule="exact"/>
        <w:ind w:left="420"/>
        <w:rPr>
          <w:sz w:val="28"/>
          <w:szCs w:val="28"/>
        </w:rPr>
      </w:pPr>
      <w:hyperlink w:anchor="_Toc15380_WPSOffice_Level2" w:history="1">
        <w:r>
          <w:rPr>
            <w:rFonts w:ascii="楷体" w:eastAsia="楷体" w:hAnsi="楷体" w:cs="楷体" w:hint="eastAsia"/>
            <w:sz w:val="28"/>
            <w:szCs w:val="28"/>
          </w:rPr>
          <w:t>（三）强化教学建设与改革，提升人才培养质量工程</w:t>
        </w:r>
        <w:r>
          <w:rPr>
            <w:sz w:val="28"/>
            <w:szCs w:val="28"/>
          </w:rPr>
          <w:tab/>
        </w:r>
        <w:bookmarkStart w:id="6" w:name="_Toc15380_WPSOffice_Level2Page"/>
        <w:r>
          <w:rPr>
            <w:sz w:val="28"/>
            <w:szCs w:val="28"/>
          </w:rPr>
          <w:t>1</w:t>
        </w:r>
        <w:bookmarkEnd w:id="6"/>
        <w:r>
          <w:rPr>
            <w:rFonts w:hint="eastAsia"/>
            <w:sz w:val="28"/>
            <w:szCs w:val="28"/>
          </w:rPr>
          <w:t>0</w:t>
        </w:r>
      </w:hyperlink>
    </w:p>
    <w:p>
      <w:pPr>
        <w:pStyle w:val="WPSOffice3"/>
        <w:tabs>
          <w:tab w:val="right" w:leader="dot" w:pos="8306"/>
        </w:tabs>
        <w:spacing w:line="420" w:lineRule="exact"/>
        <w:ind w:left="840"/>
        <w:rPr>
          <w:sz w:val="28"/>
          <w:szCs w:val="28"/>
        </w:rPr>
      </w:pPr>
      <w:hyperlink w:anchor="_Toc6373_WPSOffice_Level3" w:history="1">
        <w:r>
          <w:rPr>
            <w:rFonts w:ascii="仿宋" w:eastAsia="仿宋" w:hAnsi="仿宋" w:hint="eastAsia"/>
            <w:sz w:val="28"/>
            <w:szCs w:val="28"/>
          </w:rPr>
          <w:t>1.教学建设与改革工程</w:t>
        </w:r>
        <w:r>
          <w:rPr>
            <w:sz w:val="28"/>
            <w:szCs w:val="28"/>
          </w:rPr>
          <w:tab/>
        </w:r>
        <w:bookmarkStart w:id="7" w:name="_Toc6373_WPSOffice_Level3Page"/>
        <w:r>
          <w:rPr>
            <w:sz w:val="28"/>
            <w:szCs w:val="28"/>
          </w:rPr>
          <w:t>1</w:t>
        </w:r>
        <w:bookmarkEnd w:id="7"/>
        <w:r>
          <w:rPr>
            <w:rFonts w:hint="eastAsia"/>
            <w:sz w:val="28"/>
            <w:szCs w:val="28"/>
          </w:rPr>
          <w:t>0</w:t>
        </w:r>
      </w:hyperlink>
    </w:p>
    <w:p>
      <w:pPr>
        <w:pStyle w:val="WPSOffice3"/>
        <w:tabs>
          <w:tab w:val="right" w:leader="dot" w:pos="8306"/>
        </w:tabs>
        <w:spacing w:line="420" w:lineRule="exact"/>
        <w:ind w:left="840"/>
        <w:rPr>
          <w:sz w:val="28"/>
          <w:szCs w:val="28"/>
        </w:rPr>
      </w:pPr>
      <w:hyperlink w:anchor="_Toc17911_WPSOffice_Level3" w:history="1">
        <w:r>
          <w:rPr>
            <w:rFonts w:ascii="仿宋" w:eastAsia="仿宋" w:hAnsi="仿宋" w:hint="eastAsia"/>
            <w:sz w:val="28"/>
            <w:szCs w:val="28"/>
          </w:rPr>
          <w:t>2.创新创业教育推进工程</w:t>
        </w:r>
        <w:r>
          <w:rPr>
            <w:sz w:val="28"/>
            <w:szCs w:val="28"/>
          </w:rPr>
          <w:tab/>
        </w:r>
        <w:bookmarkStart w:id="8" w:name="_Toc17911_WPSOffice_Level3Page"/>
        <w:r>
          <w:rPr>
            <w:sz w:val="28"/>
            <w:szCs w:val="28"/>
          </w:rPr>
          <w:t>1</w:t>
        </w:r>
        <w:bookmarkEnd w:id="8"/>
        <w:r>
          <w:rPr>
            <w:rFonts w:hint="eastAsia"/>
            <w:sz w:val="28"/>
            <w:szCs w:val="28"/>
          </w:rPr>
          <w:t>1</w:t>
        </w:r>
      </w:hyperlink>
    </w:p>
    <w:p>
      <w:pPr>
        <w:pStyle w:val="WPSOffice3"/>
        <w:tabs>
          <w:tab w:val="right" w:leader="dot" w:pos="8306"/>
        </w:tabs>
        <w:spacing w:line="420" w:lineRule="exact"/>
        <w:ind w:left="840"/>
        <w:rPr>
          <w:sz w:val="28"/>
          <w:szCs w:val="28"/>
        </w:rPr>
      </w:pPr>
      <w:hyperlink w:anchor="_Toc2317_WPSOffice_Level3" w:history="1">
        <w:r>
          <w:rPr>
            <w:rFonts w:ascii="仿宋" w:eastAsia="仿宋" w:hAnsi="仿宋" w:hint="eastAsia"/>
            <w:sz w:val="28"/>
            <w:szCs w:val="28"/>
          </w:rPr>
          <w:t>3.实践教学平台建设工程</w:t>
        </w:r>
        <w:r>
          <w:rPr>
            <w:sz w:val="28"/>
            <w:szCs w:val="28"/>
          </w:rPr>
          <w:tab/>
        </w:r>
        <w:bookmarkStart w:id="9" w:name="_Toc2317_WPSOffice_Level3Page"/>
        <w:r>
          <w:rPr>
            <w:sz w:val="28"/>
            <w:szCs w:val="28"/>
          </w:rPr>
          <w:t>1</w:t>
        </w:r>
        <w:bookmarkEnd w:id="9"/>
        <w:r>
          <w:rPr>
            <w:rFonts w:hint="eastAsia"/>
            <w:sz w:val="28"/>
            <w:szCs w:val="28"/>
          </w:rPr>
          <w:t>2</w:t>
        </w:r>
      </w:hyperlink>
    </w:p>
    <w:p>
      <w:pPr>
        <w:pStyle w:val="WPSOffice3"/>
        <w:tabs>
          <w:tab w:val="right" w:leader="dot" w:pos="8306"/>
        </w:tabs>
        <w:spacing w:line="420" w:lineRule="exact"/>
        <w:ind w:left="840"/>
        <w:rPr>
          <w:sz w:val="28"/>
          <w:szCs w:val="28"/>
        </w:rPr>
      </w:pPr>
      <w:hyperlink w:anchor="_Toc5014_WPSOffice_Level3" w:history="1">
        <w:r>
          <w:rPr>
            <w:rFonts w:ascii="仿宋" w:eastAsia="仿宋" w:hAnsi="仿宋" w:hint="eastAsia"/>
            <w:sz w:val="28"/>
            <w:szCs w:val="28"/>
          </w:rPr>
          <w:t>4.教学质量保证工程</w:t>
        </w:r>
        <w:r>
          <w:rPr>
            <w:sz w:val="28"/>
            <w:szCs w:val="28"/>
          </w:rPr>
          <w:tab/>
        </w:r>
        <w:bookmarkStart w:id="10" w:name="_Toc5014_WPSOffice_Level3Page"/>
        <w:r>
          <w:rPr>
            <w:sz w:val="28"/>
            <w:szCs w:val="28"/>
          </w:rPr>
          <w:t>1</w:t>
        </w:r>
        <w:bookmarkEnd w:id="10"/>
        <w:r>
          <w:rPr>
            <w:rFonts w:hint="eastAsia"/>
            <w:sz w:val="28"/>
            <w:szCs w:val="28"/>
          </w:rPr>
          <w:t>2</w:t>
        </w:r>
      </w:hyperlink>
    </w:p>
    <w:p>
      <w:pPr>
        <w:pStyle w:val="WPSOffice2"/>
        <w:tabs>
          <w:tab w:val="right" w:leader="dot" w:pos="8306"/>
        </w:tabs>
        <w:spacing w:line="420" w:lineRule="exact"/>
        <w:ind w:left="420"/>
        <w:rPr>
          <w:sz w:val="28"/>
          <w:szCs w:val="28"/>
        </w:rPr>
      </w:pPr>
      <w:hyperlink w:anchor="_Toc2463_WPSOffice_Level2" w:history="1">
        <w:r>
          <w:rPr>
            <w:rFonts w:ascii="楷体" w:eastAsia="楷体" w:hAnsi="楷体" w:cs="楷体" w:hint="eastAsia"/>
            <w:sz w:val="28"/>
            <w:szCs w:val="28"/>
          </w:rPr>
          <w:t>（四）改善校园网络环境，实施信息化提升工程</w:t>
        </w:r>
        <w:r>
          <w:rPr>
            <w:sz w:val="28"/>
            <w:szCs w:val="28"/>
          </w:rPr>
          <w:tab/>
        </w:r>
        <w:bookmarkStart w:id="11" w:name="_Toc2463_WPSOffice_Level2Page"/>
        <w:r>
          <w:rPr>
            <w:sz w:val="28"/>
            <w:szCs w:val="28"/>
          </w:rPr>
          <w:t>1</w:t>
        </w:r>
        <w:bookmarkEnd w:id="11"/>
      </w:hyperlink>
      <w:r>
        <w:rPr>
          <w:rFonts w:hint="eastAsia"/>
          <w:sz w:val="28"/>
          <w:szCs w:val="28"/>
        </w:rPr>
        <w:t>3</w:t>
      </w:r>
    </w:p>
    <w:p>
      <w:pPr>
        <w:pStyle w:val="WPSOffice2"/>
        <w:tabs>
          <w:tab w:val="right" w:leader="dot" w:pos="8306"/>
        </w:tabs>
        <w:spacing w:line="420" w:lineRule="exact"/>
        <w:ind w:left="420"/>
        <w:rPr>
          <w:sz w:val="28"/>
          <w:szCs w:val="28"/>
        </w:rPr>
      </w:pPr>
      <w:hyperlink w:anchor="_Toc19050_WPSOffice_Level2" w:history="1">
        <w:r>
          <w:rPr>
            <w:rFonts w:ascii="楷体" w:eastAsia="楷体" w:hAnsi="楷体" w:cs="楷体" w:hint="eastAsia"/>
            <w:sz w:val="28"/>
            <w:szCs w:val="28"/>
          </w:rPr>
          <w:t>（五）建设美丽校园，实施校园文化建设工程</w:t>
        </w:r>
        <w:r>
          <w:rPr>
            <w:sz w:val="28"/>
            <w:szCs w:val="28"/>
          </w:rPr>
          <w:tab/>
        </w:r>
        <w:bookmarkStart w:id="12" w:name="_Toc19050_WPSOffice_Level2Page"/>
        <w:r>
          <w:rPr>
            <w:sz w:val="28"/>
            <w:szCs w:val="28"/>
          </w:rPr>
          <w:t>1</w:t>
        </w:r>
        <w:bookmarkEnd w:id="12"/>
        <w:r>
          <w:rPr>
            <w:rFonts w:hint="eastAsia"/>
            <w:sz w:val="28"/>
            <w:szCs w:val="28"/>
          </w:rPr>
          <w:t>3</w:t>
        </w:r>
      </w:hyperlink>
    </w:p>
    <w:p>
      <w:pPr>
        <w:pStyle w:val="WPSOffice2"/>
        <w:tabs>
          <w:tab w:val="right" w:leader="dot" w:pos="8306"/>
        </w:tabs>
        <w:spacing w:line="420" w:lineRule="exact"/>
        <w:ind w:left="420"/>
        <w:rPr>
          <w:sz w:val="28"/>
          <w:szCs w:val="28"/>
        </w:rPr>
      </w:pPr>
      <w:hyperlink w:anchor="_Toc11958_WPSOffice_Level2" w:history="1">
        <w:r>
          <w:rPr>
            <w:rFonts w:ascii="楷体" w:eastAsia="楷体" w:hAnsi="楷体" w:cs="楷体" w:hint="eastAsia"/>
            <w:sz w:val="28"/>
            <w:szCs w:val="28"/>
          </w:rPr>
          <w:t>（六）开展交流合作，实施国际合作教育工程</w:t>
        </w:r>
        <w:r>
          <w:rPr>
            <w:sz w:val="28"/>
            <w:szCs w:val="28"/>
          </w:rPr>
          <w:tab/>
        </w:r>
        <w:bookmarkStart w:id="13" w:name="_Toc11958_WPSOffice_Level2Page"/>
        <w:r>
          <w:rPr>
            <w:sz w:val="28"/>
            <w:szCs w:val="28"/>
          </w:rPr>
          <w:t>1</w:t>
        </w:r>
        <w:bookmarkEnd w:id="13"/>
        <w:r>
          <w:rPr>
            <w:rFonts w:hint="eastAsia"/>
            <w:sz w:val="28"/>
            <w:szCs w:val="28"/>
          </w:rPr>
          <w:t>3</w:t>
        </w:r>
      </w:hyperlink>
    </w:p>
    <w:p>
      <w:pPr>
        <w:pStyle w:val="WPSOffice2"/>
        <w:tabs>
          <w:tab w:val="right" w:leader="dot" w:pos="8306"/>
        </w:tabs>
        <w:spacing w:line="420" w:lineRule="exact"/>
        <w:ind w:left="420"/>
        <w:rPr>
          <w:sz w:val="28"/>
          <w:szCs w:val="28"/>
        </w:rPr>
      </w:pPr>
      <w:hyperlink w:anchor="_Toc25854_WPSOffice_Level2" w:history="1">
        <w:r>
          <w:rPr>
            <w:rFonts w:ascii="楷体" w:eastAsia="楷体" w:hAnsi="楷体" w:cs="楷体" w:hint="eastAsia"/>
            <w:sz w:val="28"/>
            <w:szCs w:val="28"/>
          </w:rPr>
          <w:t>（七）改善办学条件，实施校园基础建设工程</w:t>
        </w:r>
        <w:r>
          <w:rPr>
            <w:sz w:val="28"/>
            <w:szCs w:val="28"/>
          </w:rPr>
          <w:tab/>
        </w:r>
        <w:bookmarkStart w:id="14" w:name="_Toc25854_WPSOffice_Level2Page"/>
        <w:r>
          <w:rPr>
            <w:sz w:val="28"/>
            <w:szCs w:val="28"/>
          </w:rPr>
          <w:t>1</w:t>
        </w:r>
        <w:bookmarkEnd w:id="14"/>
        <w:r>
          <w:rPr>
            <w:rFonts w:hint="eastAsia"/>
            <w:sz w:val="28"/>
            <w:szCs w:val="28"/>
          </w:rPr>
          <w:t>3</w:t>
        </w:r>
      </w:hyperlink>
    </w:p>
    <w:p>
      <w:pPr>
        <w:pStyle w:val="WPSOffice2"/>
        <w:tabs>
          <w:tab w:val="right" w:leader="dot" w:pos="8306"/>
        </w:tabs>
        <w:spacing w:line="420" w:lineRule="exact"/>
        <w:ind w:left="420"/>
        <w:rPr>
          <w:sz w:val="28"/>
          <w:szCs w:val="28"/>
        </w:rPr>
      </w:pPr>
      <w:hyperlink w:anchor="_Toc21265_WPSOffice_Level2" w:history="1">
        <w:r>
          <w:rPr>
            <w:rFonts w:ascii="楷体" w:eastAsia="楷体" w:hAnsi="楷体" w:cs="楷体" w:hint="eastAsia"/>
            <w:sz w:val="28"/>
            <w:szCs w:val="28"/>
          </w:rPr>
          <w:t>（八）完善治理结构，实施现代大学制度建设工程</w:t>
        </w:r>
        <w:r>
          <w:rPr>
            <w:sz w:val="28"/>
            <w:szCs w:val="28"/>
          </w:rPr>
          <w:tab/>
        </w:r>
        <w:bookmarkStart w:id="15" w:name="_Toc21265_WPSOffice_Level2Page"/>
        <w:r>
          <w:rPr>
            <w:sz w:val="28"/>
            <w:szCs w:val="28"/>
          </w:rPr>
          <w:t>1</w:t>
        </w:r>
        <w:bookmarkEnd w:id="15"/>
        <w:r>
          <w:rPr>
            <w:rFonts w:hint="eastAsia"/>
            <w:sz w:val="28"/>
            <w:szCs w:val="28"/>
          </w:rPr>
          <w:t>4</w:t>
        </w:r>
      </w:hyperlink>
    </w:p>
    <w:p>
      <w:pPr>
        <w:pStyle w:val="WPSOffice3"/>
        <w:tabs>
          <w:tab w:val="right" w:leader="dot" w:pos="8306"/>
        </w:tabs>
        <w:spacing w:line="420" w:lineRule="exact"/>
        <w:ind w:left="840"/>
        <w:rPr>
          <w:sz w:val="28"/>
          <w:szCs w:val="28"/>
        </w:rPr>
      </w:pPr>
      <w:hyperlink w:anchor="_Toc6373_WPSOffice_Level3" w:history="1">
        <w:r>
          <w:rPr>
            <w:rFonts w:ascii="仿宋" w:eastAsia="仿宋" w:hAnsi="仿宋" w:hint="eastAsia"/>
            <w:sz w:val="28"/>
            <w:szCs w:val="28"/>
          </w:rPr>
          <w:t>1.</w:t>
        </w:r>
        <w:r>
          <w:rPr>
            <w:rFonts w:ascii="楷体" w:eastAsia="楷体" w:hAnsi="楷体"/>
            <w:sz w:val="28"/>
            <w:szCs w:val="28"/>
          </w:rPr>
          <w:t>坚持民主办学，推进民主治校</w:t>
        </w:r>
        <w:r>
          <w:rPr>
            <w:sz w:val="28"/>
            <w:szCs w:val="28"/>
          </w:rPr>
          <w:tab/>
        </w:r>
        <w:r>
          <w:rPr>
            <w:sz w:val="28"/>
            <w:szCs w:val="28"/>
          </w:rPr>
          <w:t>1</w:t>
        </w:r>
        <w:r>
          <w:rPr>
            <w:rFonts w:hint="eastAsia"/>
            <w:sz w:val="28"/>
            <w:szCs w:val="28"/>
          </w:rPr>
          <w:t>4</w:t>
        </w:r>
      </w:hyperlink>
    </w:p>
    <w:p>
      <w:pPr>
        <w:pStyle w:val="WPSOffice2"/>
        <w:tabs>
          <w:tab w:val="right" w:leader="dot" w:pos="8306"/>
        </w:tabs>
        <w:spacing w:line="420" w:lineRule="exact"/>
        <w:ind w:left="420" w:firstLine="400" w:firstLineChars="200"/>
        <w:rPr>
          <w:sz w:val="28"/>
          <w:szCs w:val="28"/>
        </w:rPr>
      </w:pPr>
      <w:hyperlink w:anchor="_Toc17911_WPSOffice_Level3" w:history="1">
        <w:r>
          <w:rPr>
            <w:rFonts w:ascii="仿宋" w:eastAsia="仿宋" w:hAnsi="仿宋" w:hint="eastAsia"/>
            <w:sz w:val="28"/>
            <w:szCs w:val="28"/>
          </w:rPr>
          <w:t>2.</w:t>
        </w:r>
        <w:r>
          <w:rPr>
            <w:rFonts w:ascii="楷体" w:eastAsia="楷体" w:hAnsi="楷体" w:hint="eastAsia"/>
            <w:sz w:val="28"/>
            <w:szCs w:val="28"/>
          </w:rPr>
          <w:t>完善</w:t>
        </w:r>
        <w:r>
          <w:rPr>
            <w:rFonts w:ascii="楷体" w:eastAsia="楷体" w:hAnsi="楷体"/>
            <w:sz w:val="28"/>
            <w:szCs w:val="28"/>
          </w:rPr>
          <w:t>内部管理</w:t>
        </w:r>
        <w:r>
          <w:rPr>
            <w:rFonts w:ascii="楷体" w:eastAsia="楷体" w:hAnsi="楷体" w:hint="eastAsia"/>
            <w:sz w:val="28"/>
            <w:szCs w:val="28"/>
          </w:rPr>
          <w:t>模式</w:t>
        </w:r>
        <w:r>
          <w:rPr>
            <w:sz w:val="28"/>
            <w:szCs w:val="28"/>
          </w:rPr>
          <w:tab/>
        </w:r>
        <w:r>
          <w:rPr>
            <w:sz w:val="28"/>
            <w:szCs w:val="28"/>
          </w:rPr>
          <w:t>1</w:t>
        </w:r>
        <w:r>
          <w:rPr>
            <w:rFonts w:hint="eastAsia"/>
            <w:sz w:val="28"/>
            <w:szCs w:val="28"/>
          </w:rPr>
          <w:t>4</w:t>
        </w:r>
      </w:hyperlink>
    </w:p>
    <w:p>
      <w:pPr>
        <w:pStyle w:val="WPSOffice2"/>
        <w:tabs>
          <w:tab w:val="right" w:leader="dot" w:pos="8306"/>
        </w:tabs>
        <w:spacing w:line="420" w:lineRule="exact"/>
        <w:ind w:left="0" w:firstLine="840" w:leftChars="0" w:firstLineChars="300"/>
        <w:rPr>
          <w:sz w:val="28"/>
          <w:szCs w:val="28"/>
        </w:rPr>
      </w:pPr>
      <w:r>
        <w:rPr>
          <w:rFonts w:ascii="楷体" w:eastAsia="楷体" w:hAnsi="楷体" w:hint="eastAsia"/>
          <w:sz w:val="28"/>
          <w:szCs w:val="28"/>
        </w:rPr>
        <w:t>3.</w:t>
      </w:r>
      <w:r>
        <w:rPr>
          <w:rFonts w:ascii="楷体" w:eastAsia="楷体" w:hAnsi="楷体"/>
          <w:sz w:val="28"/>
          <w:szCs w:val="28"/>
        </w:rPr>
        <w:t>推进后勤改革</w:t>
      </w:r>
      <w:r>
        <w:rPr>
          <w:sz w:val="28"/>
          <w:szCs w:val="28"/>
        </w:rPr>
        <w:tab/>
      </w:r>
      <w:r>
        <w:rPr>
          <w:rFonts w:hint="eastAsia"/>
          <w:sz w:val="28"/>
          <w:szCs w:val="28"/>
        </w:rPr>
        <w:t>14</w:t>
      </w:r>
    </w:p>
    <w:p>
      <w:pPr>
        <w:pStyle w:val="WPSOffice1"/>
        <w:tabs>
          <w:tab w:val="right" w:leader="dot" w:pos="8306"/>
        </w:tabs>
        <w:spacing w:line="420" w:lineRule="exact"/>
        <w:rPr>
          <w:sz w:val="28"/>
          <w:szCs w:val="28"/>
        </w:rPr>
      </w:pPr>
      <w:hyperlink w:anchor="_Toc5014_WPSOffice_Level1" w:history="1">
        <w:r>
          <w:rPr>
            <w:rFonts w:ascii="黑体" w:eastAsia="黑体" w:hAnsi="黑体"/>
            <w:sz w:val="28"/>
            <w:szCs w:val="28"/>
          </w:rPr>
          <w:t>四、保障措施</w:t>
        </w:r>
        <w:r>
          <w:rPr>
            <w:sz w:val="28"/>
            <w:szCs w:val="28"/>
          </w:rPr>
          <w:tab/>
        </w:r>
        <w:bookmarkStart w:id="16" w:name="_Toc5014_WPSOffice_Level1Page"/>
        <w:r>
          <w:rPr>
            <w:sz w:val="28"/>
            <w:szCs w:val="28"/>
          </w:rPr>
          <w:t>1</w:t>
        </w:r>
        <w:bookmarkEnd w:id="16"/>
        <w:r>
          <w:rPr>
            <w:rFonts w:hint="eastAsia"/>
            <w:sz w:val="28"/>
            <w:szCs w:val="28"/>
          </w:rPr>
          <w:t>4</w:t>
        </w:r>
      </w:hyperlink>
    </w:p>
    <w:p>
      <w:pPr>
        <w:pStyle w:val="WPSOffice2"/>
        <w:tabs>
          <w:tab w:val="right" w:leader="dot" w:pos="8306"/>
        </w:tabs>
        <w:spacing w:line="420" w:lineRule="exact"/>
        <w:ind w:left="420"/>
        <w:rPr>
          <w:sz w:val="28"/>
          <w:szCs w:val="28"/>
        </w:rPr>
      </w:pPr>
      <w:hyperlink w:anchor="_Toc26308_WPSOffice_Level2" w:history="1">
        <w:r>
          <w:rPr>
            <w:rFonts w:ascii="楷体" w:eastAsia="楷体" w:hAnsi="楷体" w:cs="楷体" w:hint="eastAsia"/>
            <w:sz w:val="28"/>
            <w:szCs w:val="28"/>
          </w:rPr>
          <w:t>（一）思想组织保障</w:t>
        </w:r>
        <w:r>
          <w:rPr>
            <w:sz w:val="28"/>
            <w:szCs w:val="28"/>
          </w:rPr>
          <w:tab/>
        </w:r>
        <w:bookmarkStart w:id="17" w:name="_Toc26308_WPSOffice_Level2Page"/>
        <w:r>
          <w:rPr>
            <w:sz w:val="28"/>
            <w:szCs w:val="28"/>
          </w:rPr>
          <w:t>1</w:t>
        </w:r>
        <w:bookmarkEnd w:id="17"/>
        <w:r>
          <w:rPr>
            <w:rFonts w:hint="eastAsia"/>
            <w:sz w:val="28"/>
            <w:szCs w:val="28"/>
          </w:rPr>
          <w:t>4</w:t>
        </w:r>
      </w:hyperlink>
    </w:p>
    <w:p>
      <w:pPr>
        <w:pStyle w:val="WPSOffice2"/>
        <w:tabs>
          <w:tab w:val="right" w:leader="dot" w:pos="8306"/>
        </w:tabs>
        <w:spacing w:line="420" w:lineRule="exact"/>
        <w:ind w:left="420"/>
        <w:rPr>
          <w:sz w:val="28"/>
          <w:szCs w:val="28"/>
        </w:rPr>
      </w:pPr>
      <w:hyperlink w:anchor="_Toc8155_WPSOffice_Level2" w:history="1">
        <w:r>
          <w:rPr>
            <w:rFonts w:ascii="楷体" w:eastAsia="楷体" w:hAnsi="楷体" w:cs="楷体" w:hint="eastAsia"/>
            <w:sz w:val="28"/>
            <w:szCs w:val="28"/>
          </w:rPr>
          <w:t>（二）管理体制保障</w:t>
        </w:r>
        <w:r>
          <w:rPr>
            <w:sz w:val="28"/>
            <w:szCs w:val="28"/>
          </w:rPr>
          <w:tab/>
        </w:r>
        <w:bookmarkStart w:id="18" w:name="_Toc8155_WPSOffice_Level2Page"/>
        <w:r>
          <w:rPr>
            <w:sz w:val="28"/>
            <w:szCs w:val="28"/>
          </w:rPr>
          <w:t>1</w:t>
        </w:r>
        <w:bookmarkEnd w:id="18"/>
        <w:r>
          <w:rPr>
            <w:rFonts w:hint="eastAsia"/>
            <w:sz w:val="28"/>
            <w:szCs w:val="28"/>
          </w:rPr>
          <w:t>5</w:t>
        </w:r>
      </w:hyperlink>
    </w:p>
    <w:p>
      <w:pPr>
        <w:pStyle w:val="WPSOffice2"/>
        <w:tabs>
          <w:tab w:val="right" w:leader="dot" w:pos="8306"/>
        </w:tabs>
        <w:spacing w:line="420" w:lineRule="exact"/>
        <w:ind w:left="420"/>
        <w:rPr>
          <w:sz w:val="28"/>
          <w:szCs w:val="28"/>
        </w:rPr>
      </w:pPr>
      <w:hyperlink w:anchor="_Toc11830_WPSOffice_Level2" w:history="1">
        <w:r>
          <w:rPr>
            <w:rFonts w:ascii="楷体" w:eastAsia="楷体" w:hAnsi="楷体" w:cs="楷体" w:hint="eastAsia"/>
            <w:sz w:val="28"/>
            <w:szCs w:val="28"/>
          </w:rPr>
          <w:t>（三）基础建设与后勤保障</w:t>
        </w:r>
        <w:r>
          <w:rPr>
            <w:sz w:val="28"/>
            <w:szCs w:val="28"/>
          </w:rPr>
          <w:tab/>
        </w:r>
        <w:bookmarkStart w:id="19" w:name="_Toc11830_WPSOffice_Level2Page"/>
        <w:r>
          <w:rPr>
            <w:sz w:val="28"/>
            <w:szCs w:val="28"/>
          </w:rPr>
          <w:t>1</w:t>
        </w:r>
        <w:bookmarkEnd w:id="19"/>
        <w:r>
          <w:rPr>
            <w:rFonts w:hint="eastAsia"/>
            <w:sz w:val="28"/>
            <w:szCs w:val="28"/>
          </w:rPr>
          <w:t>5</w:t>
        </w:r>
      </w:hyperlink>
    </w:p>
    <w:p>
      <w:pPr>
        <w:pStyle w:val="WPSOffice2"/>
        <w:tabs>
          <w:tab w:val="right" w:leader="dot" w:pos="8306"/>
        </w:tabs>
        <w:spacing w:line="420" w:lineRule="exact"/>
        <w:ind w:left="420"/>
        <w:rPr>
          <w:sz w:val="28"/>
          <w:szCs w:val="28"/>
        </w:rPr>
      </w:pPr>
      <w:hyperlink w:anchor="_Toc21428_WPSOffice_Level2" w:history="1">
        <w:r>
          <w:rPr>
            <w:rFonts w:ascii="楷体" w:eastAsia="楷体" w:hAnsi="楷体" w:cs="楷体" w:hint="eastAsia"/>
            <w:sz w:val="28"/>
            <w:szCs w:val="28"/>
          </w:rPr>
          <w:t>（四）强化实施</w:t>
        </w:r>
        <w:r>
          <w:rPr>
            <w:sz w:val="28"/>
            <w:szCs w:val="28"/>
          </w:rPr>
          <w:tab/>
        </w:r>
        <w:bookmarkStart w:id="20" w:name="_Toc21428_WPSOffice_Level2Page"/>
        <w:r>
          <w:rPr>
            <w:sz w:val="28"/>
            <w:szCs w:val="28"/>
          </w:rPr>
          <w:t>1</w:t>
        </w:r>
        <w:bookmarkEnd w:id="20"/>
        <w:r>
          <w:rPr>
            <w:rFonts w:hint="eastAsia"/>
            <w:sz w:val="28"/>
            <w:szCs w:val="28"/>
          </w:rPr>
          <w:t>6</w:t>
        </w:r>
      </w:hyperlink>
    </w:p>
    <w:p>
      <w:pPr>
        <w:spacing w:line="460" w:lineRule="exact"/>
        <w:jc w:val="center"/>
        <w:rPr>
          <w:rFonts w:ascii="宋体" w:hAnsi="宋体" w:cs="Arial"/>
          <w:b/>
          <w:sz w:val="28"/>
          <w:szCs w:val="28"/>
        </w:rPr>
      </w:pPr>
      <w:bookmarkEnd w:id="2"/>
    </w:p>
    <w:p>
      <w:pPr>
        <w:spacing w:line="540" w:lineRule="exact"/>
        <w:jc w:val="center"/>
        <w:rPr>
          <w:rFonts w:ascii="宋体" w:hAnsi="宋体" w:cs="黑体"/>
          <w:b/>
          <w:sz w:val="44"/>
          <w:szCs w:val="44"/>
        </w:rPr>
        <w:sectPr>
          <w:pgSz w:w="11906" w:h="16838"/>
          <w:pgMar w:top="1440" w:right="1800" w:bottom="1440" w:left="1800" w:header="851" w:footer="992" w:gutter="0"/>
          <w:pgNumType w:start="3"/>
          <w:cols w:space="708"/>
          <w:docGrid w:type="lines" w:linePitch="312" w:charSpace="0"/>
        </w:sectPr>
      </w:pPr>
    </w:p>
    <w:p>
      <w:pPr>
        <w:spacing w:line="540" w:lineRule="exact"/>
        <w:jc w:val="center"/>
        <w:rPr>
          <w:rFonts w:ascii="宋体" w:hAnsi="宋体" w:cs="黑体"/>
          <w:b/>
          <w:sz w:val="44"/>
          <w:szCs w:val="44"/>
        </w:rPr>
      </w:pPr>
      <w:bookmarkStart w:id="21" w:name="_Toc18488_WPSOffice_Level1"/>
      <w:bookmarkStart w:id="22" w:name="_Toc14422_WPSOffice_Level1"/>
    </w:p>
    <w:p>
      <w:pPr>
        <w:spacing w:line="550" w:lineRule="exact"/>
        <w:jc w:val="center"/>
        <w:rPr>
          <w:rFonts w:ascii="宋体" w:hAnsi="宋体" w:cs="黑体"/>
          <w:b/>
          <w:sz w:val="44"/>
          <w:szCs w:val="44"/>
        </w:rPr>
      </w:pPr>
      <w:r>
        <w:rPr>
          <w:rFonts w:ascii="宋体" w:hAnsi="宋体" w:cs="黑体" w:hint="eastAsia"/>
          <w:b/>
          <w:sz w:val="44"/>
          <w:szCs w:val="44"/>
        </w:rPr>
        <w:t>河北科技学院</w:t>
      </w:r>
      <w:bookmarkEnd w:id="21"/>
    </w:p>
    <w:p>
      <w:pPr>
        <w:spacing w:line="550" w:lineRule="exact"/>
        <w:jc w:val="center"/>
        <w:rPr>
          <w:rFonts w:ascii="宋体" w:hAnsi="宋体" w:cs="黑体"/>
          <w:b/>
          <w:sz w:val="44"/>
          <w:szCs w:val="44"/>
        </w:rPr>
      </w:pPr>
      <w:bookmarkStart w:id="23" w:name="_Toc10248_WPSOffice_Level1"/>
      <w:r>
        <w:rPr>
          <w:rFonts w:ascii="宋体" w:hAnsi="宋体" w:cs="黑体" w:hint="eastAsia"/>
          <w:b/>
          <w:sz w:val="44"/>
          <w:szCs w:val="44"/>
        </w:rPr>
        <w:t>“</w:t>
      </w:r>
      <w:r>
        <w:rPr>
          <w:rFonts w:ascii="宋体" w:hAnsi="宋体" w:cs="黑体" w:hint="eastAsia"/>
          <w:b/>
          <w:sz w:val="44"/>
          <w:szCs w:val="44"/>
        </w:rPr>
        <w:t>十三五</w:t>
      </w:r>
      <w:r>
        <w:rPr>
          <w:rFonts w:ascii="宋体" w:hAnsi="宋体" w:cs="黑体" w:hint="eastAsia"/>
          <w:b/>
          <w:sz w:val="44"/>
          <w:szCs w:val="44"/>
        </w:rPr>
        <w:t>”</w:t>
      </w:r>
      <w:r>
        <w:rPr>
          <w:rFonts w:ascii="宋体" w:hAnsi="宋体" w:cs="黑体" w:hint="eastAsia"/>
          <w:b/>
          <w:sz w:val="44"/>
          <w:szCs w:val="44"/>
        </w:rPr>
        <w:t>教育事业发展规划</w:t>
      </w:r>
      <w:bookmarkEnd w:id="22"/>
      <w:bookmarkEnd w:id="23"/>
    </w:p>
    <w:p>
      <w:pPr>
        <w:spacing w:line="550" w:lineRule="exact"/>
        <w:jc w:val="center"/>
        <w:rPr>
          <w:rFonts w:ascii="仿宋" w:eastAsia="仿宋" w:hAnsi="仿宋" w:cs="宋体"/>
          <w:bCs/>
          <w:kern w:val="0"/>
          <w:sz w:val="30"/>
          <w:szCs w:val="30"/>
        </w:rPr>
      </w:pPr>
      <w:bookmarkStart w:id="24" w:name="_Toc27437_WPSOffice_Level1"/>
      <w:bookmarkStart w:id="25" w:name="_Toc12206_WPSOffice_Level1"/>
      <w:r>
        <w:rPr>
          <w:rFonts w:ascii="仿宋" w:eastAsia="仿宋" w:hAnsi="仿宋" w:cs="宋体" w:hint="eastAsia"/>
          <w:bCs/>
          <w:kern w:val="0"/>
          <w:sz w:val="30"/>
          <w:szCs w:val="30"/>
        </w:rPr>
        <w:t>（2016年至2020年）</w:t>
      </w:r>
      <w:bookmarkEnd w:id="24"/>
      <w:bookmarkEnd w:id="25"/>
    </w:p>
    <w:p>
      <w:pPr>
        <w:spacing w:before="312" w:line="550" w:lineRule="exact"/>
        <w:ind w:firstLine="588" w:firstLineChars="196"/>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w:t>
      </w:r>
      <w:r>
        <w:rPr>
          <w:rFonts w:ascii="仿宋" w:eastAsia="仿宋" w:hAnsi="仿宋" w:cs="仿宋" w:hint="eastAsia"/>
          <w:sz w:val="30"/>
          <w:szCs w:val="30"/>
        </w:rPr>
        <w:t>十三五</w:t>
      </w:r>
      <w:r>
        <w:rPr>
          <w:rFonts w:ascii="仿宋" w:eastAsia="仿宋" w:hAnsi="仿宋" w:cs="仿宋" w:hint="eastAsia"/>
          <w:sz w:val="30"/>
          <w:szCs w:val="30"/>
        </w:rPr>
        <w:t>”</w:t>
      </w:r>
      <w:r>
        <w:rPr>
          <w:rFonts w:ascii="仿宋" w:eastAsia="仿宋" w:hAnsi="仿宋" w:cs="仿宋" w:hint="eastAsia"/>
          <w:sz w:val="30"/>
          <w:szCs w:val="30"/>
        </w:rPr>
        <w:t>期间，是民办本科高校全面提高质量和提升实力的重要时期，是学校实现发展战略目标的关键阶段。为了促进学校又好又快发展，加快新建本科院校建设步伐，着实推进内涵发展，全面提高人才培养质量，根据国家和河北省2010－2020教育改革和发展规划纲要、《中华人民共和国民办教育促进法（2013年修正版）》《国务院办公厅关于深化高等学校创新创业教育改革的实施意见（国办发</w:t>
      </w:r>
      <w:r>
        <w:rPr>
          <w:rFonts w:ascii="仿宋" w:eastAsia="仿宋" w:hAnsi="仿宋" w:hint="eastAsia"/>
          <w:sz w:val="30"/>
          <w:szCs w:val="30"/>
        </w:rPr>
        <w:t>〔2015〕</w:t>
      </w:r>
      <w:r>
        <w:rPr>
          <w:rFonts w:ascii="仿宋" w:eastAsia="仿宋" w:hAnsi="仿宋" w:cs="仿宋" w:hint="eastAsia"/>
          <w:sz w:val="30"/>
          <w:szCs w:val="30"/>
        </w:rPr>
        <w:t>36号）》《教育部国家发展改革委财政部关于引导部分地方普通本科高校向应用型转变的指导意见》，结合学校实际，特制定河北科技学院2016年</w:t>
      </w:r>
      <w:r>
        <w:rPr>
          <w:rFonts w:ascii="仿宋" w:eastAsia="仿宋" w:hAnsi="仿宋" w:cs="仿宋" w:hint="eastAsia"/>
          <w:sz w:val="30"/>
          <w:szCs w:val="30"/>
        </w:rPr>
        <w:t>—</w:t>
      </w:r>
      <w:r>
        <w:rPr>
          <w:rFonts w:ascii="仿宋" w:eastAsia="仿宋" w:hAnsi="仿宋" w:cs="仿宋" w:hint="eastAsia"/>
          <w:sz w:val="30"/>
          <w:szCs w:val="30"/>
        </w:rPr>
        <w:t>2020年教育事业发展规划。</w:t>
      </w:r>
    </w:p>
    <w:p>
      <w:pPr>
        <w:spacing w:line="550" w:lineRule="exact"/>
        <w:ind w:firstLine="588" w:firstLineChars="196"/>
        <w:rPr>
          <w:rFonts w:ascii="黑体" w:eastAsia="黑体" w:hAnsi="黑体"/>
          <w:sz w:val="30"/>
          <w:szCs w:val="30"/>
        </w:rPr>
      </w:pPr>
      <w:bookmarkStart w:id="26" w:name="_Toc6373_WPSOffice_Level1"/>
      <w:r>
        <w:rPr>
          <w:rFonts w:ascii="黑体" w:eastAsia="黑体" w:hAnsi="黑体"/>
          <w:sz w:val="30"/>
          <w:szCs w:val="30"/>
        </w:rPr>
        <w:t>一、现实基础和发展依据</w:t>
      </w:r>
      <w:bookmarkEnd w:id="26"/>
    </w:p>
    <w:p>
      <w:pPr>
        <w:spacing w:line="550" w:lineRule="exact"/>
        <w:ind w:firstLine="588" w:firstLineChars="196"/>
        <w:rPr>
          <w:rFonts w:ascii="楷体" w:eastAsia="楷体" w:hAnsi="楷体" w:cs="楷体"/>
          <w:b/>
          <w:bCs/>
          <w:sz w:val="30"/>
          <w:szCs w:val="30"/>
        </w:rPr>
      </w:pPr>
      <w:bookmarkStart w:id="27" w:name="_Toc10248_WPSOffice_Level2"/>
      <w:r>
        <w:rPr>
          <w:rFonts w:ascii="楷体" w:eastAsia="楷体" w:hAnsi="楷体" w:cs="楷体" w:hint="eastAsia"/>
          <w:b/>
          <w:bCs/>
          <w:sz w:val="30"/>
          <w:szCs w:val="30"/>
        </w:rPr>
        <w:t>(一) 现实基础</w:t>
      </w:r>
      <w:bookmarkEnd w:id="27"/>
    </w:p>
    <w:p>
      <w:pPr>
        <w:spacing w:line="550" w:lineRule="exact"/>
        <w:ind w:firstLine="588" w:firstLineChars="196"/>
        <w:rPr>
          <w:rFonts w:ascii="仿宋" w:eastAsia="仿宋" w:hAnsi="仿宋"/>
          <w:sz w:val="30"/>
          <w:szCs w:val="30"/>
        </w:rPr>
      </w:pPr>
      <w:r>
        <w:rPr>
          <w:rFonts w:ascii="仿宋" w:eastAsia="仿宋" w:hAnsi="仿宋"/>
          <w:sz w:val="30"/>
          <w:szCs w:val="30"/>
        </w:rPr>
        <w:t>“十</w:t>
      </w:r>
      <w:r>
        <w:rPr>
          <w:rFonts w:ascii="仿宋" w:eastAsia="仿宋" w:hAnsi="仿宋" w:hint="eastAsia"/>
          <w:sz w:val="30"/>
          <w:szCs w:val="30"/>
        </w:rPr>
        <w:t>二</w:t>
      </w:r>
      <w:r>
        <w:rPr>
          <w:rFonts w:ascii="仿宋" w:eastAsia="仿宋" w:hAnsi="仿宋"/>
          <w:sz w:val="30"/>
          <w:szCs w:val="30"/>
        </w:rPr>
        <w:t>五”期间，</w:t>
      </w:r>
      <w:r>
        <w:rPr>
          <w:rFonts w:ascii="仿宋" w:eastAsia="仿宋" w:hAnsi="仿宋" w:hint="eastAsia"/>
          <w:sz w:val="30"/>
          <w:szCs w:val="30"/>
        </w:rPr>
        <w:t>学校在省市政府的</w:t>
      </w:r>
      <w:r>
        <w:rPr>
          <w:rFonts w:ascii="仿宋" w:eastAsia="仿宋" w:hAnsi="仿宋"/>
          <w:sz w:val="30"/>
          <w:szCs w:val="30"/>
        </w:rPr>
        <w:t>正确领导下，紧紧依靠全体师生员工，</w:t>
      </w:r>
      <w:r>
        <w:rPr>
          <w:rFonts w:ascii="仿宋" w:eastAsia="仿宋" w:hAnsi="仿宋" w:hint="eastAsia"/>
          <w:sz w:val="30"/>
          <w:szCs w:val="30"/>
        </w:rPr>
        <w:t>团结一致、</w:t>
      </w:r>
      <w:r>
        <w:rPr>
          <w:rFonts w:ascii="仿宋" w:eastAsia="仿宋" w:hAnsi="仿宋"/>
          <w:sz w:val="30"/>
          <w:szCs w:val="30"/>
        </w:rPr>
        <w:t>艰苦奋斗，办学条件逐步改善，办学规模不断扩大，办学质量和办学水平明显提升，办学效益稳步提高，为学</w:t>
      </w:r>
      <w:r>
        <w:rPr>
          <w:rFonts w:ascii="仿宋" w:eastAsia="仿宋" w:hAnsi="仿宋" w:hint="eastAsia"/>
          <w:sz w:val="30"/>
          <w:szCs w:val="30"/>
        </w:rPr>
        <w:t>校</w:t>
      </w:r>
      <w:r>
        <w:rPr>
          <w:rFonts w:ascii="仿宋" w:eastAsia="仿宋" w:hAnsi="仿宋"/>
          <w:sz w:val="30"/>
          <w:szCs w:val="30"/>
        </w:rPr>
        <w:t>“十</w:t>
      </w:r>
      <w:r>
        <w:rPr>
          <w:rFonts w:ascii="仿宋" w:eastAsia="仿宋" w:hAnsi="仿宋" w:hint="eastAsia"/>
          <w:sz w:val="30"/>
          <w:szCs w:val="30"/>
        </w:rPr>
        <w:t>三</w:t>
      </w:r>
      <w:r>
        <w:rPr>
          <w:rFonts w:ascii="仿宋" w:eastAsia="仿宋" w:hAnsi="仿宋"/>
          <w:sz w:val="30"/>
          <w:szCs w:val="30"/>
        </w:rPr>
        <w:t>五”的发展奠定了坚实基础。</w:t>
      </w:r>
    </w:p>
    <w:p>
      <w:pPr>
        <w:spacing w:line="550" w:lineRule="exact"/>
        <w:ind w:firstLine="588" w:firstLineChars="196"/>
        <w:rPr>
          <w:rFonts w:ascii="仿宋" w:eastAsia="仿宋" w:hAnsi="仿宋"/>
          <w:sz w:val="30"/>
          <w:szCs w:val="30"/>
        </w:rPr>
      </w:pPr>
      <w:r>
        <w:rPr>
          <w:rFonts w:ascii="仿宋" w:eastAsia="仿宋" w:hAnsi="仿宋"/>
          <w:sz w:val="30"/>
          <w:szCs w:val="30"/>
        </w:rPr>
        <w:t>经过五年多的努力，“十</w:t>
      </w:r>
      <w:r>
        <w:rPr>
          <w:rFonts w:ascii="仿宋" w:eastAsia="仿宋" w:hAnsi="仿宋" w:hint="eastAsia"/>
          <w:sz w:val="30"/>
          <w:szCs w:val="30"/>
        </w:rPr>
        <w:t>二</w:t>
      </w:r>
      <w:r>
        <w:rPr>
          <w:rFonts w:ascii="仿宋" w:eastAsia="仿宋" w:hAnsi="仿宋"/>
          <w:sz w:val="30"/>
          <w:szCs w:val="30"/>
        </w:rPr>
        <w:t>五”规划</w:t>
      </w:r>
      <w:r>
        <w:rPr>
          <w:rFonts w:ascii="仿宋" w:eastAsia="仿宋" w:hAnsi="仿宋" w:hint="eastAsia"/>
          <w:sz w:val="30"/>
          <w:szCs w:val="30"/>
        </w:rPr>
        <w:t>圆满</w:t>
      </w:r>
      <w:r>
        <w:rPr>
          <w:rFonts w:ascii="仿宋" w:eastAsia="仿宋" w:hAnsi="仿宋"/>
          <w:sz w:val="30"/>
          <w:szCs w:val="30"/>
        </w:rPr>
        <w:t>完成</w:t>
      </w:r>
      <w:r>
        <w:rPr>
          <w:rFonts w:ascii="仿宋" w:eastAsia="仿宋" w:hAnsi="仿宋" w:hint="eastAsia"/>
          <w:sz w:val="30"/>
          <w:szCs w:val="30"/>
        </w:rPr>
        <w:t>。</w:t>
      </w:r>
      <w:r>
        <w:rPr>
          <w:rFonts w:ascii="仿宋" w:eastAsia="仿宋" w:hAnsi="仿宋"/>
          <w:sz w:val="30"/>
          <w:szCs w:val="30"/>
        </w:rPr>
        <w:t>2011年</w:t>
      </w:r>
      <w:r>
        <w:rPr>
          <w:rFonts w:ascii="仿宋" w:eastAsia="仿宋" w:hAnsi="仿宋" w:hint="eastAsia"/>
          <w:sz w:val="30"/>
          <w:szCs w:val="30"/>
        </w:rPr>
        <w:t>学校</w:t>
      </w:r>
      <w:r>
        <w:rPr>
          <w:rFonts w:ascii="仿宋" w:eastAsia="仿宋" w:hAnsi="仿宋"/>
          <w:sz w:val="30"/>
          <w:szCs w:val="30"/>
        </w:rPr>
        <w:t>经教育部批准升格为民办普通本科院校，并更名为河北科技学院</w:t>
      </w:r>
      <w:r>
        <w:rPr>
          <w:rFonts w:ascii="仿宋" w:eastAsia="仿宋" w:hAnsi="仿宋" w:hint="eastAsia"/>
          <w:sz w:val="30"/>
          <w:szCs w:val="30"/>
        </w:rPr>
        <w:t>，2015年通过省学士学位授予单位评审</w:t>
      </w:r>
      <w:r>
        <w:rPr>
          <w:rFonts w:ascii="仿宋" w:eastAsia="仿宋" w:hAnsi="仿宋"/>
          <w:sz w:val="30"/>
          <w:szCs w:val="30"/>
        </w:rPr>
        <w:t>。</w:t>
      </w:r>
      <w:r>
        <w:rPr>
          <w:rFonts w:ascii="仿宋" w:eastAsia="仿宋" w:hAnsi="仿宋" w:hint="eastAsia"/>
          <w:sz w:val="30"/>
          <w:szCs w:val="30"/>
        </w:rPr>
        <w:t>截至2015年底，学校占地面积1376亩，建筑面积34万多平方米，教学仪器设备总值5490.25万元，图书馆藏书78.5万册，国内外期刊杂志720余种，电子图书7TB。教师队伍相对稳定，学校</w:t>
      </w:r>
      <w:r>
        <w:rPr>
          <w:rFonts w:ascii="仿宋" w:eastAsia="仿宋" w:hAnsi="仿宋"/>
          <w:sz w:val="30"/>
          <w:szCs w:val="30"/>
        </w:rPr>
        <w:t>有</w:t>
      </w:r>
      <w:r>
        <w:rPr>
          <w:rFonts w:ascii="仿宋" w:eastAsia="仿宋" w:hAnsi="仿宋" w:hint="eastAsia"/>
          <w:sz w:val="30"/>
          <w:szCs w:val="30"/>
        </w:rPr>
        <w:t>教师</w:t>
      </w:r>
      <w:r>
        <w:rPr>
          <w:rFonts w:ascii="仿宋" w:eastAsia="仿宋" w:hAnsi="仿宋"/>
          <w:sz w:val="30"/>
          <w:szCs w:val="30"/>
        </w:rPr>
        <w:t>516</w:t>
      </w:r>
      <w:r>
        <w:rPr>
          <w:rFonts w:ascii="仿宋" w:eastAsia="仿宋" w:hAnsi="仿宋" w:hint="eastAsia"/>
          <w:sz w:val="30"/>
          <w:szCs w:val="30"/>
        </w:rPr>
        <w:t>人，</w:t>
      </w:r>
      <w:r>
        <w:rPr>
          <w:rFonts w:ascii="仿宋" w:eastAsia="仿宋" w:hAnsi="仿宋"/>
          <w:sz w:val="30"/>
          <w:szCs w:val="30"/>
        </w:rPr>
        <w:t>副高以上职称</w:t>
      </w:r>
      <w:r>
        <w:rPr>
          <w:rFonts w:ascii="仿宋" w:eastAsia="仿宋" w:hAnsi="仿宋" w:hint="eastAsia"/>
          <w:sz w:val="30"/>
          <w:szCs w:val="30"/>
        </w:rPr>
        <w:t>占35</w:t>
      </w:r>
      <w:r>
        <w:rPr>
          <w:rFonts w:ascii="仿宋" w:eastAsia="仿宋" w:hAnsi="仿宋"/>
          <w:sz w:val="30"/>
          <w:szCs w:val="30"/>
        </w:rPr>
        <w:t>%</w:t>
      </w:r>
      <w:r>
        <w:rPr>
          <w:rFonts w:ascii="仿宋" w:eastAsia="仿宋" w:hAnsi="仿宋" w:hint="eastAsia"/>
          <w:sz w:val="30"/>
          <w:szCs w:val="30"/>
        </w:rPr>
        <w:t>，</w:t>
      </w:r>
      <w:r>
        <w:rPr>
          <w:rFonts w:ascii="仿宋" w:eastAsia="仿宋" w:hAnsi="仿宋"/>
          <w:sz w:val="30"/>
          <w:szCs w:val="30"/>
        </w:rPr>
        <w:t>硕士研究生以上学历</w:t>
      </w:r>
      <w:r>
        <w:rPr>
          <w:rFonts w:ascii="仿宋" w:eastAsia="仿宋" w:hAnsi="仿宋" w:hint="eastAsia"/>
          <w:sz w:val="30"/>
          <w:szCs w:val="30"/>
        </w:rPr>
        <w:t>学位占60</w:t>
      </w:r>
      <w:r>
        <w:rPr>
          <w:rFonts w:ascii="仿宋" w:eastAsia="仿宋" w:hAnsi="仿宋"/>
          <w:sz w:val="30"/>
          <w:szCs w:val="30"/>
        </w:rPr>
        <w:t>%</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双师型</w:t>
      </w:r>
      <w:r>
        <w:rPr>
          <w:rFonts w:ascii="仿宋" w:eastAsia="仿宋" w:hAnsi="仿宋" w:hint="eastAsia"/>
          <w:sz w:val="30"/>
          <w:szCs w:val="30"/>
        </w:rPr>
        <w:t>”</w:t>
      </w:r>
      <w:r>
        <w:rPr>
          <w:rFonts w:ascii="仿宋" w:eastAsia="仿宋" w:hAnsi="仿宋" w:hint="eastAsia"/>
          <w:sz w:val="30"/>
          <w:szCs w:val="30"/>
        </w:rPr>
        <w:t>教师队伍已初具规模。科研工作取得突破性进展，</w:t>
      </w:r>
      <w:r>
        <w:rPr>
          <w:rFonts w:ascii="仿宋" w:eastAsia="仿宋" w:hAnsi="仿宋" w:hint="eastAsia"/>
          <w:sz w:val="30"/>
          <w:szCs w:val="30"/>
        </w:rPr>
        <w:t>“</w:t>
      </w:r>
      <w:r>
        <w:rPr>
          <w:rFonts w:ascii="仿宋" w:eastAsia="仿宋" w:hAnsi="仿宋" w:hint="eastAsia"/>
          <w:sz w:val="30"/>
          <w:szCs w:val="30"/>
        </w:rPr>
        <w:t>十二五</w:t>
      </w:r>
      <w:r>
        <w:rPr>
          <w:rFonts w:ascii="仿宋" w:eastAsia="仿宋" w:hAnsi="仿宋" w:hint="eastAsia"/>
          <w:sz w:val="30"/>
          <w:szCs w:val="30"/>
        </w:rPr>
        <w:t>”</w:t>
      </w:r>
      <w:r>
        <w:rPr>
          <w:rFonts w:ascii="仿宋" w:eastAsia="仿宋" w:hAnsi="仿宋" w:hint="eastAsia"/>
          <w:sz w:val="30"/>
          <w:szCs w:val="30"/>
        </w:rPr>
        <w:t>期间学校承担厅局级以上科研及教改项目69项，出版著作与教材155部，省级以上学术专业期刊发表论文214篇，获厅局级以上奖励130项。</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学校党委组织机构健全，规章制度完备，紧紧围绕教学中心工作，充分发挥基层党组织的战斗堡垒作用和广大党员先锋模范作用，为学校建设与发展增添动力。</w:t>
      </w:r>
    </w:p>
    <w:p>
      <w:pPr>
        <w:spacing w:line="550" w:lineRule="exact"/>
        <w:ind w:firstLine="588" w:firstLineChars="196"/>
        <w:rPr>
          <w:rFonts w:ascii="仿宋" w:eastAsia="仿宋" w:hAnsi="仿宋"/>
          <w:sz w:val="30"/>
          <w:szCs w:val="30"/>
        </w:rPr>
      </w:pPr>
      <w:r>
        <w:rPr>
          <w:rFonts w:ascii="仿宋" w:eastAsia="仿宋" w:hAnsi="仿宋"/>
          <w:sz w:val="30"/>
          <w:szCs w:val="30"/>
        </w:rPr>
        <w:t>学</w:t>
      </w:r>
      <w:r>
        <w:rPr>
          <w:rFonts w:ascii="仿宋" w:eastAsia="仿宋" w:hAnsi="仿宋" w:hint="eastAsia"/>
          <w:sz w:val="30"/>
          <w:szCs w:val="30"/>
        </w:rPr>
        <w:t>校</w:t>
      </w:r>
      <w:r>
        <w:rPr>
          <w:rFonts w:ascii="仿宋" w:eastAsia="仿宋" w:hAnsi="仿宋"/>
          <w:sz w:val="30"/>
          <w:szCs w:val="30"/>
        </w:rPr>
        <w:t>本着“机构从简、管理规范、运行高效”的原则设置管理机构，逐步建立了以能力和业绩为导向的二级单位目标责任制和考核评价机制</w:t>
      </w:r>
      <w:r>
        <w:rPr>
          <w:rFonts w:ascii="仿宋" w:eastAsia="仿宋" w:hAnsi="仿宋" w:hint="eastAsia"/>
          <w:sz w:val="30"/>
          <w:szCs w:val="30"/>
        </w:rPr>
        <w:t>，</w:t>
      </w:r>
      <w:r>
        <w:rPr>
          <w:rFonts w:ascii="仿宋" w:eastAsia="仿宋" w:hAnsi="仿宋"/>
          <w:sz w:val="30"/>
          <w:szCs w:val="30"/>
        </w:rPr>
        <w:t>学</w:t>
      </w:r>
      <w:r>
        <w:rPr>
          <w:rFonts w:ascii="仿宋" w:eastAsia="仿宋" w:hAnsi="仿宋" w:hint="eastAsia"/>
          <w:sz w:val="30"/>
          <w:szCs w:val="30"/>
        </w:rPr>
        <w:t>校</w:t>
      </w:r>
      <w:r>
        <w:rPr>
          <w:rFonts w:ascii="仿宋" w:eastAsia="仿宋" w:hAnsi="仿宋"/>
          <w:sz w:val="30"/>
          <w:szCs w:val="30"/>
        </w:rPr>
        <w:t>设有经济管理</w:t>
      </w:r>
      <w:r>
        <w:rPr>
          <w:rFonts w:ascii="仿宋" w:eastAsia="仿宋" w:hAnsi="仿宋" w:hint="eastAsia"/>
          <w:sz w:val="30"/>
          <w:szCs w:val="30"/>
        </w:rPr>
        <w:t>学院</w:t>
      </w:r>
      <w:r>
        <w:rPr>
          <w:rFonts w:ascii="仿宋" w:eastAsia="仿宋" w:hAnsi="仿宋"/>
          <w:sz w:val="30"/>
          <w:szCs w:val="30"/>
        </w:rPr>
        <w:t>、</w:t>
      </w:r>
      <w:r>
        <w:rPr>
          <w:rFonts w:ascii="仿宋" w:eastAsia="仿宋" w:hAnsi="仿宋" w:hint="eastAsia"/>
          <w:sz w:val="30"/>
          <w:szCs w:val="30"/>
        </w:rPr>
        <w:t>智能制造工程学院</w:t>
      </w:r>
      <w:r>
        <w:rPr>
          <w:rFonts w:ascii="仿宋" w:eastAsia="仿宋" w:hAnsi="仿宋"/>
          <w:sz w:val="30"/>
          <w:szCs w:val="30"/>
        </w:rPr>
        <w:t>、汽车工程</w:t>
      </w:r>
      <w:r>
        <w:rPr>
          <w:rFonts w:ascii="仿宋" w:eastAsia="仿宋" w:hAnsi="仿宋" w:hint="eastAsia"/>
          <w:sz w:val="30"/>
          <w:szCs w:val="30"/>
        </w:rPr>
        <w:t>学院</w:t>
      </w:r>
      <w:r>
        <w:rPr>
          <w:rFonts w:ascii="仿宋" w:eastAsia="仿宋" w:hAnsi="仿宋"/>
          <w:sz w:val="30"/>
          <w:szCs w:val="30"/>
        </w:rPr>
        <w:t>、建筑工程</w:t>
      </w:r>
      <w:r>
        <w:rPr>
          <w:rFonts w:ascii="仿宋" w:eastAsia="仿宋" w:hAnsi="仿宋" w:hint="eastAsia"/>
          <w:sz w:val="30"/>
          <w:szCs w:val="30"/>
        </w:rPr>
        <w:t>学院、</w:t>
      </w:r>
      <w:r>
        <w:rPr>
          <w:rFonts w:ascii="仿宋" w:eastAsia="仿宋" w:hAnsi="仿宋"/>
          <w:sz w:val="30"/>
          <w:szCs w:val="30"/>
        </w:rPr>
        <w:t>艺术</w:t>
      </w:r>
      <w:r>
        <w:rPr>
          <w:rFonts w:ascii="仿宋" w:eastAsia="仿宋" w:hAnsi="仿宋" w:hint="eastAsia"/>
          <w:sz w:val="30"/>
          <w:szCs w:val="30"/>
        </w:rPr>
        <w:t>学院、医学护理系</w:t>
      </w:r>
      <w:r>
        <w:rPr>
          <w:rFonts w:ascii="仿宋" w:eastAsia="仿宋" w:hAnsi="仿宋"/>
          <w:sz w:val="30"/>
          <w:szCs w:val="30"/>
        </w:rPr>
        <w:t>，公共课部</w:t>
      </w:r>
      <w:r>
        <w:rPr>
          <w:rFonts w:ascii="仿宋" w:eastAsia="仿宋" w:hAnsi="仿宋" w:hint="eastAsia"/>
          <w:sz w:val="30"/>
          <w:szCs w:val="30"/>
        </w:rPr>
        <w:t>等7</w:t>
      </w:r>
      <w:r>
        <w:rPr>
          <w:rFonts w:ascii="仿宋" w:eastAsia="仿宋" w:hAnsi="仿宋"/>
          <w:sz w:val="30"/>
          <w:szCs w:val="30"/>
        </w:rPr>
        <w:t>个教学单位</w:t>
      </w:r>
      <w:r>
        <w:rPr>
          <w:rFonts w:ascii="仿宋" w:eastAsia="仿宋" w:hAnsi="仿宋" w:hint="eastAsia"/>
          <w:sz w:val="30"/>
          <w:szCs w:val="30"/>
        </w:rPr>
        <w:t>和</w:t>
      </w:r>
      <w:r>
        <w:rPr>
          <w:rFonts w:ascii="仿宋" w:eastAsia="仿宋" w:hAnsi="仿宋"/>
          <w:sz w:val="30"/>
          <w:szCs w:val="30"/>
        </w:rPr>
        <w:t>现代教育中心、图书馆</w:t>
      </w:r>
      <w:r>
        <w:rPr>
          <w:rFonts w:ascii="仿宋" w:eastAsia="仿宋" w:hAnsi="仿宋" w:hint="eastAsia"/>
          <w:sz w:val="30"/>
          <w:szCs w:val="30"/>
        </w:rPr>
        <w:t>等2个</w:t>
      </w:r>
      <w:r>
        <w:rPr>
          <w:rFonts w:ascii="仿宋" w:eastAsia="仿宋" w:hAnsi="仿宋"/>
          <w:sz w:val="30"/>
          <w:szCs w:val="30"/>
        </w:rPr>
        <w:t>教辅部门</w:t>
      </w:r>
      <w:r>
        <w:rPr>
          <w:rFonts w:ascii="仿宋" w:eastAsia="仿宋" w:hAnsi="仿宋" w:hint="eastAsia"/>
          <w:sz w:val="30"/>
          <w:szCs w:val="30"/>
        </w:rPr>
        <w:t>。</w:t>
      </w:r>
    </w:p>
    <w:p>
      <w:pPr>
        <w:spacing w:line="550" w:lineRule="exact"/>
        <w:ind w:firstLine="588" w:firstLineChars="196"/>
        <w:rPr>
          <w:rFonts w:ascii="仿宋" w:eastAsia="仿宋" w:hAnsi="仿宋"/>
          <w:sz w:val="30"/>
          <w:szCs w:val="30"/>
        </w:rPr>
      </w:pPr>
      <w:r>
        <w:rPr>
          <w:rFonts w:ascii="仿宋" w:eastAsia="仿宋" w:hAnsi="仿宋"/>
          <w:kern w:val="0"/>
          <w:sz w:val="30"/>
          <w:szCs w:val="30"/>
        </w:rPr>
        <w:t>学</w:t>
      </w:r>
      <w:r>
        <w:rPr>
          <w:rFonts w:ascii="仿宋" w:eastAsia="仿宋" w:hAnsi="仿宋" w:hint="eastAsia"/>
          <w:sz w:val="30"/>
          <w:szCs w:val="30"/>
        </w:rPr>
        <w:t>校办学层次，</w:t>
      </w:r>
      <w:r>
        <w:rPr>
          <w:rFonts w:ascii="仿宋" w:eastAsia="仿宋" w:hAnsi="仿宋" w:hint="eastAsia"/>
          <w:kern w:val="0"/>
          <w:sz w:val="30"/>
          <w:szCs w:val="30"/>
        </w:rPr>
        <w:t>逐步转向以</w:t>
      </w:r>
      <w:r>
        <w:rPr>
          <w:rFonts w:ascii="仿宋" w:eastAsia="仿宋" w:hAnsi="仿宋" w:cs="仿宋" w:hint="eastAsia"/>
          <w:sz w:val="30"/>
          <w:szCs w:val="30"/>
        </w:rPr>
        <w:t>本科</w:t>
      </w:r>
      <w:r>
        <w:rPr>
          <w:rFonts w:ascii="仿宋" w:eastAsia="仿宋" w:hAnsi="仿宋"/>
          <w:kern w:val="0"/>
          <w:sz w:val="30"/>
          <w:szCs w:val="30"/>
        </w:rPr>
        <w:t>教育为主</w:t>
      </w:r>
      <w:r>
        <w:rPr>
          <w:rFonts w:ascii="仿宋" w:eastAsia="仿宋" w:hAnsi="仿宋" w:hint="eastAsia"/>
          <w:kern w:val="0"/>
          <w:sz w:val="30"/>
          <w:szCs w:val="30"/>
        </w:rPr>
        <w:t>、专科教育为辅</w:t>
      </w:r>
      <w:r>
        <w:rPr>
          <w:rFonts w:ascii="仿宋" w:eastAsia="仿宋" w:hAnsi="仿宋"/>
          <w:kern w:val="0"/>
          <w:sz w:val="30"/>
          <w:szCs w:val="30"/>
        </w:rPr>
        <w:t>。</w:t>
      </w:r>
      <w:r>
        <w:rPr>
          <w:rFonts w:ascii="仿宋" w:eastAsia="仿宋" w:hAnsi="仿宋"/>
          <w:sz w:val="30"/>
          <w:szCs w:val="30"/>
        </w:rPr>
        <w:t>开设</w:t>
      </w:r>
      <w:r>
        <w:rPr>
          <w:rFonts w:ascii="仿宋" w:eastAsia="仿宋" w:hAnsi="仿宋" w:hint="eastAsia"/>
          <w:sz w:val="30"/>
          <w:szCs w:val="30"/>
        </w:rPr>
        <w:t>了</w:t>
      </w:r>
      <w:r>
        <w:rPr>
          <w:rFonts w:ascii="仿宋" w:eastAsia="仿宋" w:hAnsi="仿宋"/>
          <w:sz w:val="30"/>
          <w:szCs w:val="30"/>
        </w:rPr>
        <w:t>机械设计制造及其自动化、汽车服务工程</w:t>
      </w:r>
      <w:r>
        <w:rPr>
          <w:rFonts w:ascii="仿宋" w:eastAsia="仿宋" w:hAnsi="仿宋" w:hint="eastAsia"/>
          <w:sz w:val="30"/>
          <w:szCs w:val="30"/>
        </w:rPr>
        <w:t>、</w:t>
      </w:r>
      <w:r>
        <w:rPr>
          <w:rFonts w:ascii="仿宋" w:eastAsia="仿宋" w:hAnsi="仿宋"/>
          <w:sz w:val="30"/>
          <w:szCs w:val="30"/>
        </w:rPr>
        <w:t>会计学</w:t>
      </w:r>
      <w:r>
        <w:rPr>
          <w:rFonts w:ascii="仿宋" w:eastAsia="仿宋" w:hAnsi="仿宋" w:hint="eastAsia"/>
          <w:sz w:val="30"/>
          <w:szCs w:val="30"/>
        </w:rPr>
        <w:t>等23</w:t>
      </w:r>
      <w:r>
        <w:rPr>
          <w:rFonts w:ascii="仿宋" w:eastAsia="仿宋" w:hAnsi="仿宋"/>
          <w:sz w:val="30"/>
          <w:szCs w:val="30"/>
        </w:rPr>
        <w:t>个本科专业</w:t>
      </w:r>
      <w:r>
        <w:rPr>
          <w:rFonts w:ascii="仿宋" w:eastAsia="仿宋" w:hAnsi="仿宋" w:cs="宋体" w:hint="eastAsia"/>
          <w:kern w:val="0"/>
          <w:sz w:val="30"/>
          <w:szCs w:val="30"/>
        </w:rPr>
        <w:t>和47</w:t>
      </w:r>
      <w:r>
        <w:rPr>
          <w:rFonts w:ascii="仿宋" w:eastAsia="仿宋" w:hAnsi="仿宋" w:cs="宋体"/>
          <w:kern w:val="0"/>
          <w:sz w:val="30"/>
          <w:szCs w:val="30"/>
        </w:rPr>
        <w:t>个专科专业</w:t>
      </w:r>
      <w:r>
        <w:rPr>
          <w:rFonts w:ascii="仿宋" w:eastAsia="仿宋" w:hAnsi="仿宋" w:cs="宋体" w:hint="eastAsia"/>
          <w:kern w:val="0"/>
          <w:sz w:val="30"/>
          <w:szCs w:val="30"/>
        </w:rPr>
        <w:t>，</w:t>
      </w:r>
      <w:r>
        <w:rPr>
          <w:rFonts w:ascii="仿宋" w:eastAsia="仿宋" w:hAnsi="仿宋" w:cs="仿宋" w:hint="eastAsia"/>
          <w:sz w:val="30"/>
          <w:szCs w:val="30"/>
        </w:rPr>
        <w:t>初步形成了以工科为主,工、经、管、艺多学科协调发展的专业布局</w:t>
      </w:r>
      <w:r>
        <w:rPr>
          <w:rFonts w:ascii="仿宋" w:eastAsia="仿宋" w:hAnsi="仿宋" w:hint="eastAsia"/>
          <w:sz w:val="30"/>
          <w:szCs w:val="30"/>
        </w:rPr>
        <w:t>。</w:t>
      </w:r>
      <w:r>
        <w:rPr>
          <w:rFonts w:ascii="仿宋" w:eastAsia="仿宋" w:hAnsi="仿宋"/>
          <w:sz w:val="30"/>
          <w:szCs w:val="30"/>
        </w:rPr>
        <w:t>学</w:t>
      </w:r>
      <w:r>
        <w:rPr>
          <w:rFonts w:ascii="仿宋" w:eastAsia="仿宋" w:hAnsi="仿宋" w:hint="eastAsia"/>
          <w:sz w:val="30"/>
          <w:szCs w:val="30"/>
        </w:rPr>
        <w:t>校</w:t>
      </w:r>
      <w:r>
        <w:rPr>
          <w:rFonts w:ascii="仿宋" w:eastAsia="仿宋" w:hAnsi="仿宋"/>
          <w:sz w:val="30"/>
          <w:szCs w:val="30"/>
        </w:rPr>
        <w:t>面向全国</w:t>
      </w:r>
      <w:r>
        <w:rPr>
          <w:rFonts w:ascii="仿宋" w:eastAsia="仿宋" w:hAnsi="仿宋" w:hint="eastAsia"/>
          <w:sz w:val="30"/>
          <w:szCs w:val="30"/>
        </w:rPr>
        <w:t>17</w:t>
      </w:r>
      <w:r>
        <w:rPr>
          <w:rFonts w:ascii="仿宋" w:eastAsia="仿宋" w:hAnsi="仿宋"/>
          <w:sz w:val="30"/>
          <w:szCs w:val="30"/>
        </w:rPr>
        <w:t>个省、市、自治区招生，在校学生</w:t>
      </w:r>
      <w:r>
        <w:rPr>
          <w:rFonts w:ascii="仿宋" w:eastAsia="仿宋" w:hAnsi="仿宋" w:hint="eastAsia"/>
          <w:sz w:val="30"/>
          <w:szCs w:val="30"/>
        </w:rPr>
        <w:t>9745人。</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自2009年起，学校实行了准军校式管理，并与教学活动、政治教育、思想工作、校园文化等相结合。通过实行准军校式管理，提高了学生学习的自觉性，进一步磨练了学生的意志，培养了刻苦学习的精神，增强了学生的集体意识和团结协作精神。</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十二五</w:t>
      </w:r>
      <w:r>
        <w:rPr>
          <w:rFonts w:ascii="仿宋" w:eastAsia="仿宋" w:hAnsi="仿宋" w:hint="eastAsia"/>
          <w:sz w:val="30"/>
          <w:szCs w:val="30"/>
        </w:rPr>
        <w:t>”</w:t>
      </w:r>
      <w:r>
        <w:rPr>
          <w:rFonts w:ascii="仿宋" w:eastAsia="仿宋" w:hAnsi="仿宋" w:hint="eastAsia"/>
          <w:sz w:val="30"/>
          <w:szCs w:val="30"/>
        </w:rPr>
        <w:t>期间，学校初步建立了党政管理、教学管理、学生管理、人事管理等各项规章制度，内部机构职责明确，管理逐步规范，确保了教学工作的平稳运行和全校工作的正常开展。</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经过</w:t>
      </w:r>
      <w:r>
        <w:rPr>
          <w:rFonts w:ascii="仿宋" w:eastAsia="仿宋" w:hAnsi="仿宋" w:hint="eastAsia"/>
          <w:sz w:val="30"/>
          <w:szCs w:val="30"/>
        </w:rPr>
        <w:t>“</w:t>
      </w:r>
      <w:r>
        <w:rPr>
          <w:rFonts w:ascii="仿宋" w:eastAsia="仿宋" w:hAnsi="仿宋" w:hint="eastAsia"/>
          <w:sz w:val="30"/>
          <w:szCs w:val="30"/>
        </w:rPr>
        <w:t>十二五</w:t>
      </w:r>
      <w:r>
        <w:rPr>
          <w:rFonts w:ascii="仿宋" w:eastAsia="仿宋" w:hAnsi="仿宋" w:hint="eastAsia"/>
          <w:sz w:val="30"/>
          <w:szCs w:val="30"/>
        </w:rPr>
        <w:t>”</w:t>
      </w:r>
      <w:r>
        <w:rPr>
          <w:rFonts w:ascii="仿宋" w:eastAsia="仿宋" w:hAnsi="仿宋" w:hint="eastAsia"/>
          <w:sz w:val="30"/>
          <w:szCs w:val="30"/>
        </w:rPr>
        <w:t>期间的努力，学校的办学条件发生了巨大的变化，各项改革与建设取得了显著的成绩，为学校可持续发展奠定了坚实基础。同时也存在着一定的不足：</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1.学校对新建本科的教学规律、办学特点的认识等有待提高；</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2.师资队伍建设有待于进一步加强和完善；</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3.实验室建设有待进一步加大投入；</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4.专业设置动态调整机制有待进一步完善；</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5.教学、科研水平有待进一步提高。</w:t>
      </w:r>
    </w:p>
    <w:p>
      <w:pPr>
        <w:spacing w:line="550" w:lineRule="exact"/>
        <w:ind w:firstLine="588" w:firstLineChars="196"/>
        <w:rPr>
          <w:rFonts w:ascii="楷体" w:eastAsia="楷体" w:hAnsi="楷体" w:cs="楷体"/>
          <w:b/>
          <w:bCs/>
          <w:sz w:val="30"/>
          <w:szCs w:val="30"/>
        </w:rPr>
      </w:pPr>
      <w:r>
        <w:rPr>
          <w:rFonts w:ascii="楷体" w:eastAsia="楷体" w:hAnsi="楷体" w:cs="楷体" w:hint="eastAsia"/>
          <w:b/>
          <w:bCs/>
          <w:sz w:val="30"/>
          <w:szCs w:val="30"/>
        </w:rPr>
        <w:t xml:space="preserve"> </w:t>
      </w:r>
      <w:bookmarkStart w:id="28" w:name="_Toc12206_WPSOffice_Level2"/>
      <w:r>
        <w:rPr>
          <w:rFonts w:ascii="楷体" w:eastAsia="楷体" w:hAnsi="楷体" w:cs="楷体" w:hint="eastAsia"/>
          <w:b/>
          <w:bCs/>
          <w:sz w:val="30"/>
          <w:szCs w:val="30"/>
        </w:rPr>
        <w:t>(二) 发展依据</w:t>
      </w:r>
      <w:bookmarkEnd w:id="28"/>
    </w:p>
    <w:p>
      <w:pPr>
        <w:spacing w:line="550" w:lineRule="exact"/>
        <w:ind w:firstLine="588" w:firstLineChars="196"/>
        <w:rPr>
          <w:rFonts w:ascii="仿宋" w:eastAsia="仿宋" w:hAnsi="仿宋"/>
          <w:sz w:val="30"/>
          <w:szCs w:val="30"/>
        </w:rPr>
      </w:pPr>
      <w:r>
        <w:rPr>
          <w:rFonts w:ascii="仿宋" w:eastAsia="仿宋" w:hAnsi="仿宋" w:cs="仿宋" w:hint="eastAsia"/>
          <w:sz w:val="30"/>
          <w:szCs w:val="30"/>
        </w:rPr>
        <w:t>党的十八大把教育放在改善民生和加强社会建设之首，赋予高等教育新的历史使命，明确了高等教育内涵式发展的改革方向。我国经济发展进入新常态，随着</w:t>
      </w:r>
      <w:r>
        <w:rPr>
          <w:rFonts w:ascii="仿宋" w:eastAsia="仿宋" w:hAnsi="仿宋" w:cs="仿宋" w:hint="eastAsia"/>
          <w:sz w:val="30"/>
          <w:szCs w:val="30"/>
        </w:rPr>
        <w:t>“</w:t>
      </w:r>
      <w:r>
        <w:rPr>
          <w:rFonts w:ascii="仿宋" w:eastAsia="仿宋" w:hAnsi="仿宋" w:cs="仿宋" w:hint="eastAsia"/>
          <w:sz w:val="30"/>
          <w:szCs w:val="30"/>
        </w:rPr>
        <w:t>京津冀协同发展</w:t>
      </w:r>
      <w:r>
        <w:rPr>
          <w:rFonts w:ascii="仿宋" w:eastAsia="仿宋" w:hAnsi="仿宋" w:cs="仿宋" w:hint="eastAsia"/>
          <w:sz w:val="30"/>
          <w:szCs w:val="30"/>
        </w:rPr>
        <w:t>”“</w:t>
      </w:r>
      <w:r>
        <w:rPr>
          <w:rFonts w:ascii="仿宋" w:eastAsia="仿宋" w:hAnsi="仿宋" w:cs="仿宋" w:hint="eastAsia"/>
          <w:sz w:val="30"/>
          <w:szCs w:val="30"/>
        </w:rPr>
        <w:t>创新驱动发展</w:t>
      </w:r>
      <w:r>
        <w:rPr>
          <w:rFonts w:ascii="仿宋" w:eastAsia="仿宋" w:hAnsi="仿宋" w:cs="仿宋" w:hint="eastAsia"/>
          <w:sz w:val="30"/>
          <w:szCs w:val="30"/>
        </w:rPr>
        <w:t>”“</w:t>
      </w:r>
      <w:r>
        <w:rPr>
          <w:rFonts w:ascii="仿宋" w:eastAsia="仿宋" w:hAnsi="仿宋" w:cs="仿宋" w:hint="eastAsia"/>
          <w:sz w:val="30"/>
          <w:szCs w:val="30"/>
        </w:rPr>
        <w:t>中国制造2025</w:t>
      </w:r>
      <w:r>
        <w:rPr>
          <w:rFonts w:ascii="仿宋" w:eastAsia="仿宋" w:hAnsi="仿宋" w:cs="仿宋" w:hint="eastAsia"/>
          <w:sz w:val="30"/>
          <w:szCs w:val="30"/>
        </w:rPr>
        <w:t>”“</w:t>
      </w:r>
      <w:r>
        <w:rPr>
          <w:rFonts w:ascii="仿宋" w:eastAsia="仿宋" w:hAnsi="仿宋" w:cs="仿宋" w:hint="eastAsia"/>
          <w:sz w:val="30"/>
          <w:szCs w:val="30"/>
        </w:rPr>
        <w:t>互联网+</w:t>
      </w:r>
      <w:r>
        <w:rPr>
          <w:rFonts w:ascii="仿宋" w:eastAsia="仿宋" w:hAnsi="仿宋" w:cs="仿宋" w:hint="eastAsia"/>
          <w:sz w:val="30"/>
          <w:szCs w:val="30"/>
        </w:rPr>
        <w:t>”“</w:t>
      </w:r>
      <w:r>
        <w:rPr>
          <w:rFonts w:ascii="仿宋" w:eastAsia="仿宋" w:hAnsi="仿宋" w:cs="仿宋" w:hint="eastAsia"/>
          <w:sz w:val="30"/>
          <w:szCs w:val="30"/>
        </w:rPr>
        <w:t>大众创业万众创新</w:t>
      </w:r>
      <w:r>
        <w:rPr>
          <w:rFonts w:ascii="仿宋" w:eastAsia="仿宋" w:hAnsi="仿宋" w:cs="仿宋" w:hint="eastAsia"/>
          <w:sz w:val="30"/>
          <w:szCs w:val="30"/>
        </w:rPr>
        <w:t>”“</w:t>
      </w:r>
      <w:r>
        <w:rPr>
          <w:rFonts w:ascii="仿宋" w:eastAsia="仿宋" w:hAnsi="仿宋" w:cs="仿宋" w:hint="eastAsia"/>
          <w:sz w:val="30"/>
          <w:szCs w:val="30"/>
        </w:rPr>
        <w:t>一带一路</w:t>
      </w:r>
      <w:r>
        <w:rPr>
          <w:rFonts w:ascii="仿宋" w:eastAsia="仿宋" w:hAnsi="仿宋" w:cs="仿宋" w:hint="eastAsia"/>
          <w:sz w:val="30"/>
          <w:szCs w:val="30"/>
        </w:rPr>
        <w:t>”</w:t>
      </w:r>
      <w:r>
        <w:rPr>
          <w:rFonts w:ascii="仿宋" w:eastAsia="仿宋" w:hAnsi="仿宋" w:cs="仿宋" w:hint="eastAsia"/>
          <w:sz w:val="30"/>
          <w:szCs w:val="30"/>
        </w:rPr>
        <w:t>等国家重大战略的实施，高等教育结构性矛盾更加突出。</w:t>
      </w:r>
      <w:r>
        <w:rPr>
          <w:rFonts w:ascii="仿宋" w:eastAsia="仿宋" w:hAnsi="仿宋" w:cs="仿宋" w:hint="eastAsia"/>
          <w:sz w:val="30"/>
          <w:szCs w:val="30"/>
        </w:rPr>
        <w:t>“</w:t>
      </w:r>
      <w:r>
        <w:rPr>
          <w:rFonts w:ascii="仿宋" w:eastAsia="仿宋" w:hAnsi="仿宋" w:cs="仿宋" w:hint="eastAsia"/>
          <w:sz w:val="30"/>
          <w:szCs w:val="30"/>
        </w:rPr>
        <w:t>十三五</w:t>
      </w:r>
      <w:r>
        <w:rPr>
          <w:rFonts w:ascii="仿宋" w:eastAsia="仿宋" w:hAnsi="仿宋" w:cs="仿宋" w:hint="eastAsia"/>
          <w:sz w:val="30"/>
          <w:szCs w:val="30"/>
        </w:rPr>
        <w:t>”</w:t>
      </w:r>
      <w:r>
        <w:rPr>
          <w:rFonts w:ascii="仿宋" w:eastAsia="仿宋" w:hAnsi="仿宋" w:cs="仿宋" w:hint="eastAsia"/>
          <w:sz w:val="30"/>
          <w:szCs w:val="30"/>
        </w:rPr>
        <w:t>时期既是一个发展机遇期，也是一个矛盾凸现期。这一时期，是一个机遇和挑战并存、机遇大于</w:t>
      </w:r>
      <w:r>
        <w:rPr>
          <w:rFonts w:ascii="仿宋" w:eastAsia="仿宋" w:hAnsi="仿宋"/>
          <w:sz w:val="30"/>
          <w:szCs w:val="30"/>
        </w:rPr>
        <w:t>挑战的时期。</w:t>
      </w:r>
    </w:p>
    <w:p>
      <w:pPr>
        <w:spacing w:line="550" w:lineRule="exact"/>
        <w:ind w:firstLine="588" w:firstLineChars="196"/>
        <w:rPr>
          <w:rFonts w:ascii="仿宋" w:eastAsia="仿宋" w:hAnsi="仿宋"/>
          <w:sz w:val="30"/>
          <w:szCs w:val="30"/>
        </w:rPr>
      </w:pPr>
      <w:r>
        <w:rPr>
          <w:rFonts w:ascii="仿宋" w:eastAsia="仿宋" w:hAnsi="仿宋" w:hint="eastAsia"/>
          <w:b/>
          <w:sz w:val="30"/>
          <w:szCs w:val="30"/>
        </w:rPr>
        <w:t>1.高等教育发展的新机遇。</w:t>
      </w:r>
      <w:r>
        <w:rPr>
          <w:rFonts w:ascii="仿宋" w:eastAsia="仿宋" w:hAnsi="仿宋"/>
          <w:sz w:val="30"/>
          <w:szCs w:val="30"/>
        </w:rPr>
        <w:t>“十</w:t>
      </w:r>
      <w:r>
        <w:rPr>
          <w:rFonts w:ascii="仿宋" w:eastAsia="仿宋" w:hAnsi="仿宋" w:hint="eastAsia"/>
          <w:sz w:val="30"/>
          <w:szCs w:val="30"/>
        </w:rPr>
        <w:t>三</w:t>
      </w:r>
      <w:r>
        <w:rPr>
          <w:rFonts w:ascii="仿宋" w:eastAsia="仿宋" w:hAnsi="仿宋"/>
          <w:sz w:val="30"/>
          <w:szCs w:val="30"/>
        </w:rPr>
        <w:t>五”时期是国家进一步推进科教兴国战略和人才强国战略</w:t>
      </w:r>
      <w:r>
        <w:rPr>
          <w:rFonts w:ascii="仿宋" w:eastAsia="仿宋" w:hAnsi="仿宋" w:hint="eastAsia"/>
          <w:sz w:val="30"/>
          <w:szCs w:val="30"/>
        </w:rPr>
        <w:t>、地方普通本科高校转型发展、</w:t>
      </w:r>
      <w:r>
        <w:rPr>
          <w:rFonts w:ascii="仿宋" w:eastAsia="仿宋" w:hAnsi="仿宋"/>
          <w:sz w:val="30"/>
          <w:szCs w:val="30"/>
        </w:rPr>
        <w:t>把提高</w:t>
      </w:r>
      <w:r>
        <w:rPr>
          <w:rFonts w:ascii="仿宋" w:eastAsia="仿宋" w:hAnsi="仿宋" w:hint="eastAsia"/>
          <w:sz w:val="30"/>
          <w:szCs w:val="30"/>
        </w:rPr>
        <w:t>应用型</w:t>
      </w:r>
      <w:r>
        <w:rPr>
          <w:rFonts w:ascii="仿宋" w:eastAsia="仿宋" w:hAnsi="仿宋"/>
          <w:sz w:val="30"/>
          <w:szCs w:val="30"/>
        </w:rPr>
        <w:t>人才培养质量放在更加突出位置</w:t>
      </w:r>
      <w:r>
        <w:rPr>
          <w:rFonts w:ascii="仿宋" w:eastAsia="仿宋" w:hAnsi="仿宋" w:hint="eastAsia"/>
          <w:sz w:val="30"/>
          <w:szCs w:val="30"/>
        </w:rPr>
        <w:t>的重要时期</w:t>
      </w:r>
      <w:r>
        <w:rPr>
          <w:rFonts w:ascii="仿宋" w:eastAsia="仿宋" w:hAnsi="仿宋"/>
          <w:sz w:val="30"/>
          <w:szCs w:val="30"/>
        </w:rPr>
        <w:t>。创新型国家建设、社会对高等教育的期望、高校自主办学和国家教育教学评估体系的建立，给学</w:t>
      </w:r>
      <w:r>
        <w:rPr>
          <w:rFonts w:ascii="仿宋" w:eastAsia="仿宋" w:hAnsi="仿宋" w:hint="eastAsia"/>
          <w:sz w:val="30"/>
          <w:szCs w:val="30"/>
        </w:rPr>
        <w:t>校</w:t>
      </w:r>
      <w:r>
        <w:rPr>
          <w:rFonts w:ascii="仿宋" w:eastAsia="仿宋" w:hAnsi="仿宋"/>
          <w:sz w:val="30"/>
          <w:szCs w:val="30"/>
        </w:rPr>
        <w:t>的改革发展带来了新机遇。</w:t>
      </w:r>
    </w:p>
    <w:p>
      <w:pPr>
        <w:spacing w:line="550" w:lineRule="exact"/>
        <w:ind w:firstLine="588" w:firstLineChars="196"/>
        <w:rPr>
          <w:rFonts w:ascii="仿宋" w:eastAsia="仿宋" w:hAnsi="仿宋"/>
          <w:sz w:val="30"/>
          <w:szCs w:val="30"/>
        </w:rPr>
      </w:pPr>
      <w:r>
        <w:rPr>
          <w:rFonts w:ascii="仿宋" w:eastAsia="仿宋" w:hAnsi="仿宋"/>
          <w:b/>
          <w:sz w:val="30"/>
          <w:szCs w:val="30"/>
        </w:rPr>
        <w:t>2.地方经济社会发展的新要求。</w:t>
      </w:r>
      <w:r>
        <w:rPr>
          <w:rFonts w:ascii="仿宋" w:eastAsia="仿宋" w:hAnsi="仿宋"/>
          <w:sz w:val="30"/>
          <w:szCs w:val="30"/>
        </w:rPr>
        <w:t>在</w:t>
      </w:r>
      <w:r>
        <w:rPr>
          <w:rFonts w:ascii="仿宋" w:eastAsia="仿宋" w:hAnsi="仿宋" w:hint="eastAsia"/>
          <w:bCs/>
          <w:kern w:val="36"/>
          <w:sz w:val="30"/>
          <w:szCs w:val="30"/>
        </w:rPr>
        <w:t>中国经济新常态背景下</w:t>
      </w:r>
      <w:r>
        <w:rPr>
          <w:rFonts w:ascii="仿宋" w:eastAsia="仿宋" w:hAnsi="仿宋" w:hint="eastAsia"/>
          <w:sz w:val="30"/>
          <w:szCs w:val="30"/>
        </w:rPr>
        <w:t>和京津冀协调发展建设</w:t>
      </w:r>
      <w:r>
        <w:rPr>
          <w:rFonts w:ascii="仿宋" w:eastAsia="仿宋" w:hAnsi="仿宋"/>
          <w:sz w:val="30"/>
          <w:szCs w:val="30"/>
        </w:rPr>
        <w:t>中，高校的人才培养、科学研究</w:t>
      </w:r>
      <w:r>
        <w:rPr>
          <w:rFonts w:ascii="仿宋" w:eastAsia="仿宋" w:hAnsi="仿宋" w:hint="eastAsia"/>
          <w:sz w:val="30"/>
          <w:szCs w:val="30"/>
        </w:rPr>
        <w:t>、</w:t>
      </w:r>
      <w:r>
        <w:rPr>
          <w:rFonts w:ascii="仿宋" w:eastAsia="仿宋" w:hAnsi="仿宋"/>
          <w:sz w:val="30"/>
          <w:szCs w:val="30"/>
        </w:rPr>
        <w:t>社会服务和文化传承与创新四大功能日益凸现。“以服务求</w:t>
      </w:r>
      <w:r>
        <w:rPr>
          <w:rFonts w:ascii="仿宋" w:eastAsia="仿宋" w:hAnsi="仿宋" w:hint="eastAsia"/>
          <w:sz w:val="30"/>
          <w:szCs w:val="30"/>
        </w:rPr>
        <w:t>生存</w:t>
      </w:r>
      <w:r>
        <w:rPr>
          <w:rFonts w:ascii="仿宋" w:eastAsia="仿宋" w:hAnsi="仿宋"/>
          <w:sz w:val="30"/>
          <w:szCs w:val="30"/>
        </w:rPr>
        <w:t>，以贡献求发展”已成为学</w:t>
      </w:r>
      <w:r>
        <w:rPr>
          <w:rFonts w:ascii="仿宋" w:eastAsia="仿宋" w:hAnsi="仿宋" w:hint="eastAsia"/>
          <w:sz w:val="30"/>
          <w:szCs w:val="30"/>
        </w:rPr>
        <w:t>校</w:t>
      </w:r>
      <w:r>
        <w:rPr>
          <w:rFonts w:ascii="仿宋" w:eastAsia="仿宋" w:hAnsi="仿宋"/>
          <w:sz w:val="30"/>
          <w:szCs w:val="30"/>
        </w:rPr>
        <w:t>面临的现实要求。“十</w:t>
      </w:r>
      <w:r>
        <w:rPr>
          <w:rFonts w:ascii="仿宋" w:eastAsia="仿宋" w:hAnsi="仿宋" w:hint="eastAsia"/>
          <w:sz w:val="30"/>
          <w:szCs w:val="30"/>
        </w:rPr>
        <w:t>三</w:t>
      </w:r>
      <w:r>
        <w:rPr>
          <w:rFonts w:ascii="仿宋" w:eastAsia="仿宋" w:hAnsi="仿宋"/>
          <w:sz w:val="30"/>
          <w:szCs w:val="30"/>
        </w:rPr>
        <w:t>五”期间，</w:t>
      </w:r>
      <w:r>
        <w:rPr>
          <w:rFonts w:ascii="仿宋" w:eastAsia="仿宋" w:hAnsi="仿宋" w:hint="eastAsia"/>
          <w:sz w:val="30"/>
          <w:szCs w:val="30"/>
        </w:rPr>
        <w:t>河北</w:t>
      </w:r>
      <w:r>
        <w:rPr>
          <w:rFonts w:ascii="仿宋" w:eastAsia="仿宋" w:hAnsi="仿宋"/>
          <w:sz w:val="30"/>
          <w:szCs w:val="30"/>
        </w:rPr>
        <w:t>将大力实施科教兴省和人才强省战略，提高高等教育质量</w:t>
      </w:r>
      <w:r>
        <w:rPr>
          <w:rFonts w:ascii="仿宋" w:eastAsia="仿宋" w:hAnsi="仿宋" w:hint="eastAsia"/>
          <w:sz w:val="30"/>
          <w:szCs w:val="30"/>
        </w:rPr>
        <w:t>。保定</w:t>
      </w:r>
      <w:r>
        <w:rPr>
          <w:rFonts w:ascii="仿宋" w:eastAsia="仿宋" w:hAnsi="仿宋"/>
          <w:sz w:val="30"/>
          <w:szCs w:val="30"/>
        </w:rPr>
        <w:t>通过工业强市、开放活市、科教兴市、生态优市，进一步增强实力、激发活力、彰显魅力，迫切需要学</w:t>
      </w:r>
      <w:r>
        <w:rPr>
          <w:rFonts w:ascii="仿宋" w:eastAsia="仿宋" w:hAnsi="仿宋" w:hint="eastAsia"/>
          <w:sz w:val="30"/>
          <w:szCs w:val="30"/>
        </w:rPr>
        <w:t>校</w:t>
      </w:r>
      <w:r>
        <w:rPr>
          <w:rFonts w:ascii="仿宋" w:eastAsia="仿宋" w:hAnsi="仿宋"/>
          <w:sz w:val="30"/>
          <w:szCs w:val="30"/>
        </w:rPr>
        <w:t>多方面提供人才支撑和智力支持。</w:t>
      </w:r>
    </w:p>
    <w:p>
      <w:pPr>
        <w:spacing w:line="550" w:lineRule="exact"/>
        <w:ind w:firstLine="588" w:firstLineChars="196"/>
        <w:rPr>
          <w:rFonts w:ascii="仿宋" w:eastAsia="仿宋" w:hAnsi="仿宋"/>
          <w:sz w:val="30"/>
          <w:szCs w:val="30"/>
        </w:rPr>
      </w:pPr>
      <w:r>
        <w:rPr>
          <w:rFonts w:ascii="仿宋" w:eastAsia="仿宋" w:hAnsi="仿宋"/>
          <w:sz w:val="30"/>
          <w:szCs w:val="30"/>
        </w:rPr>
        <w:t>国内外教育机构对教育资源和教育市场的争夺给</w:t>
      </w:r>
      <w:r>
        <w:rPr>
          <w:rFonts w:ascii="仿宋" w:eastAsia="仿宋" w:hAnsi="仿宋" w:hint="eastAsia"/>
          <w:sz w:val="30"/>
          <w:szCs w:val="30"/>
        </w:rPr>
        <w:t>民办高校</w:t>
      </w:r>
      <w:r>
        <w:rPr>
          <w:rFonts w:ascii="仿宋" w:eastAsia="仿宋" w:hAnsi="仿宋"/>
          <w:sz w:val="30"/>
          <w:szCs w:val="30"/>
        </w:rPr>
        <w:t>提出了新挑战。</w:t>
      </w:r>
      <w:r>
        <w:rPr>
          <w:rFonts w:ascii="仿宋" w:eastAsia="仿宋" w:hAnsi="仿宋" w:hint="eastAsia"/>
          <w:sz w:val="30"/>
          <w:szCs w:val="30"/>
        </w:rPr>
        <w:t>随着社会的发展与进步，人们对优质高等教育资源的需求更加强烈，社会对高等教育的要求越来越高，学校面临着如何进一步整体提升人才培养质量的重大课题；产业结构的调整与升级对高素质应用技术型专门人才的要求越来越高，对学校专业结构的优化和师资队伍的建设提出了更高的要求，改革创新的任务异常艰巨；面对国家和区域经济社会发展的要求，我们的思想观念、思维方式、改革与创新意识、办学思路、制度建设等方面都将面临巨大挑战。</w:t>
      </w:r>
    </w:p>
    <w:p>
      <w:pPr>
        <w:spacing w:line="550" w:lineRule="exact"/>
        <w:ind w:firstLine="588" w:firstLineChars="196"/>
        <w:rPr>
          <w:rFonts w:ascii="仿宋" w:eastAsia="仿宋" w:hAnsi="仿宋"/>
          <w:sz w:val="30"/>
          <w:szCs w:val="30"/>
        </w:rPr>
      </w:pPr>
      <w:r>
        <w:rPr>
          <w:rFonts w:ascii="仿宋" w:eastAsia="仿宋" w:hAnsi="仿宋"/>
          <w:b/>
          <w:sz w:val="30"/>
          <w:szCs w:val="30"/>
        </w:rPr>
        <w:t>3.</w:t>
      </w:r>
      <w:r>
        <w:rPr>
          <w:rFonts w:ascii="仿宋" w:eastAsia="仿宋" w:hAnsi="仿宋" w:hint="eastAsia"/>
          <w:b/>
          <w:sz w:val="30"/>
          <w:szCs w:val="30"/>
        </w:rPr>
        <w:t>学校</w:t>
      </w:r>
      <w:r>
        <w:rPr>
          <w:rFonts w:ascii="仿宋" w:eastAsia="仿宋" w:hAnsi="仿宋"/>
          <w:b/>
          <w:sz w:val="30"/>
          <w:szCs w:val="30"/>
        </w:rPr>
        <w:t>建设发展的新课题。</w:t>
      </w:r>
      <w:r>
        <w:rPr>
          <w:rFonts w:ascii="仿宋" w:eastAsia="仿宋" w:hAnsi="仿宋"/>
          <w:sz w:val="30"/>
          <w:szCs w:val="30"/>
        </w:rPr>
        <w:t>在</w:t>
      </w:r>
      <w:r>
        <w:rPr>
          <w:rFonts w:ascii="仿宋" w:eastAsia="仿宋" w:hAnsi="仿宋" w:hint="eastAsia"/>
          <w:sz w:val="30"/>
          <w:szCs w:val="30"/>
        </w:rPr>
        <w:t>明确了学校基本办学思路之后，</w:t>
      </w:r>
      <w:r>
        <w:rPr>
          <w:rFonts w:ascii="仿宋" w:eastAsia="仿宋" w:hAnsi="仿宋" w:cs="仿宋" w:hint="eastAsia"/>
          <w:sz w:val="30"/>
          <w:szCs w:val="30"/>
        </w:rPr>
        <w:t>内涵建设和外延发展的问题日益显现。学校管理机制有待完善，创新创业人才培养体系有待建立，</w:t>
      </w:r>
      <w:r>
        <w:rPr>
          <w:rFonts w:ascii="仿宋" w:eastAsia="仿宋" w:hAnsi="仿宋" w:cs="仿宋" w:hint="eastAsia"/>
          <w:sz w:val="30"/>
          <w:szCs w:val="30"/>
        </w:rPr>
        <w:t>“</w:t>
      </w:r>
      <w:r>
        <w:rPr>
          <w:rFonts w:ascii="仿宋" w:eastAsia="仿宋" w:hAnsi="仿宋" w:cs="宋体" w:hint="eastAsia"/>
          <w:kern w:val="0"/>
          <w:sz w:val="30"/>
          <w:szCs w:val="30"/>
        </w:rPr>
        <w:t>中华优秀传统文化滋养人</w:t>
      </w:r>
      <w:r>
        <w:rPr>
          <w:rFonts w:ascii="仿宋" w:eastAsia="仿宋" w:hAnsi="仿宋" w:cs="仿宋" w:hint="eastAsia"/>
          <w:sz w:val="30"/>
          <w:szCs w:val="30"/>
        </w:rPr>
        <w:t>、</w:t>
      </w:r>
      <w:r>
        <w:rPr>
          <w:rFonts w:ascii="仿宋" w:eastAsia="仿宋" w:hAnsi="仿宋" w:cs="宋体" w:hint="eastAsia"/>
          <w:kern w:val="0"/>
          <w:sz w:val="30"/>
          <w:szCs w:val="30"/>
        </w:rPr>
        <w:t>军营文化锻炼人</w:t>
      </w:r>
      <w:r>
        <w:rPr>
          <w:rFonts w:ascii="仿宋" w:eastAsia="仿宋" w:hAnsi="仿宋" w:cs="仿宋" w:hint="eastAsia"/>
          <w:sz w:val="30"/>
          <w:szCs w:val="30"/>
        </w:rPr>
        <w:t>、</w:t>
      </w:r>
      <w:r>
        <w:rPr>
          <w:rFonts w:ascii="仿宋" w:eastAsia="仿宋" w:hAnsi="仿宋" w:cs="宋体" w:hint="eastAsia"/>
          <w:kern w:val="0"/>
          <w:sz w:val="30"/>
          <w:szCs w:val="30"/>
        </w:rPr>
        <w:t>社会主义先进文化陶冶人</w:t>
      </w:r>
      <w:r>
        <w:rPr>
          <w:rFonts w:ascii="仿宋" w:eastAsia="仿宋" w:hAnsi="仿宋" w:cs="宋体" w:hint="eastAsia"/>
          <w:kern w:val="0"/>
          <w:sz w:val="30"/>
          <w:szCs w:val="30"/>
        </w:rPr>
        <w:t>”</w:t>
      </w:r>
      <w:r>
        <w:rPr>
          <w:rFonts w:ascii="仿宋" w:eastAsia="仿宋" w:hAnsi="仿宋" w:cs="宋体" w:hint="eastAsia"/>
          <w:kern w:val="0"/>
          <w:sz w:val="30"/>
          <w:szCs w:val="30"/>
        </w:rPr>
        <w:t>的体系</w:t>
      </w:r>
      <w:r>
        <w:rPr>
          <w:rFonts w:ascii="仿宋" w:eastAsia="仿宋" w:hAnsi="仿宋" w:cs="仿宋" w:hint="eastAsia"/>
          <w:sz w:val="30"/>
          <w:szCs w:val="30"/>
        </w:rPr>
        <w:t>有待强化，专业结构和布局有待优化，专业建设、教学团队建设有待进一步加强，高水平人才特别是中青年高水平人才缺乏，课程体系对高素质应用型人才培养的支撑度有待提高，国际合作与交流工作有待破局。</w:t>
      </w:r>
      <w:r>
        <w:rPr>
          <w:rFonts w:ascii="仿宋" w:eastAsia="仿宋" w:hAnsi="仿宋"/>
          <w:sz w:val="30"/>
          <w:szCs w:val="30"/>
        </w:rPr>
        <w:t>走内涵</w:t>
      </w:r>
      <w:r>
        <w:rPr>
          <w:rFonts w:ascii="仿宋" w:eastAsia="仿宋" w:hAnsi="仿宋" w:hint="eastAsia"/>
          <w:sz w:val="30"/>
          <w:szCs w:val="30"/>
        </w:rPr>
        <w:t>建设和外延</w:t>
      </w:r>
      <w:r>
        <w:rPr>
          <w:rFonts w:ascii="仿宋" w:eastAsia="仿宋" w:hAnsi="仿宋"/>
          <w:sz w:val="30"/>
          <w:szCs w:val="30"/>
        </w:rPr>
        <w:t>发展道路，全面提高教学质量，增强综合实力和核心竞争力，顺利实现战略目标已迫在眉睫。</w:t>
      </w:r>
    </w:p>
    <w:p>
      <w:pPr>
        <w:spacing w:line="550" w:lineRule="exact"/>
        <w:ind w:firstLine="588" w:firstLineChars="196"/>
        <w:rPr>
          <w:rFonts w:ascii="黑体" w:eastAsia="黑体" w:hAnsi="黑体"/>
          <w:sz w:val="30"/>
          <w:szCs w:val="30"/>
        </w:rPr>
      </w:pPr>
      <w:bookmarkStart w:id="29" w:name="_Toc17911_WPSOffice_Level1"/>
      <w:r>
        <w:rPr>
          <w:rFonts w:ascii="黑体" w:eastAsia="黑体" w:hAnsi="黑体"/>
          <w:sz w:val="30"/>
          <w:szCs w:val="30"/>
        </w:rPr>
        <w:t>二、指导思想</w:t>
      </w:r>
      <w:r>
        <w:rPr>
          <w:rFonts w:ascii="黑体" w:eastAsia="黑体" w:hAnsi="黑体" w:hint="eastAsia"/>
          <w:sz w:val="30"/>
          <w:szCs w:val="30"/>
        </w:rPr>
        <w:t>、办学定位与</w:t>
      </w:r>
      <w:r>
        <w:rPr>
          <w:rFonts w:ascii="黑体" w:eastAsia="黑体" w:hAnsi="黑体"/>
          <w:sz w:val="30"/>
          <w:szCs w:val="30"/>
        </w:rPr>
        <w:t>发展目标</w:t>
      </w:r>
      <w:bookmarkEnd w:id="29"/>
    </w:p>
    <w:p>
      <w:pPr>
        <w:spacing w:line="550" w:lineRule="exact"/>
        <w:ind w:firstLine="588" w:firstLineChars="196"/>
        <w:rPr>
          <w:rFonts w:ascii="楷体" w:eastAsia="楷体" w:hAnsi="楷体" w:cs="楷体"/>
          <w:b/>
          <w:bCs/>
          <w:sz w:val="30"/>
          <w:szCs w:val="30"/>
        </w:rPr>
      </w:pPr>
      <w:bookmarkStart w:id="30" w:name="_Toc6373_WPSOffice_Level2"/>
      <w:r>
        <w:rPr>
          <w:rFonts w:ascii="楷体" w:eastAsia="楷体" w:hAnsi="楷体" w:cs="楷体" w:hint="eastAsia"/>
          <w:b/>
          <w:bCs/>
          <w:sz w:val="30"/>
          <w:szCs w:val="30"/>
        </w:rPr>
        <w:t>（一）指导思想</w:t>
      </w:r>
      <w:bookmarkEnd w:id="30"/>
    </w:p>
    <w:p>
      <w:pPr>
        <w:spacing w:line="550" w:lineRule="exact"/>
        <w:ind w:firstLine="588" w:firstLineChars="196"/>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时期，坚持社会主义办学方向，全面贯彻党的教育方针，以立德树人为根本任务，依托京津冀协同发展优势，实施质量立校、人才强校、特色兴校战略，在内涵建设中谋求错位发展，积极探索建立符合高等教育发展规律、服务区域经济社会发展需求的人才培养模式，以创新创业教育为突破口，以提高教学质量为核心，以应用能力培养为主线，以师资队伍建设为重点，逐步把学校建设成为</w:t>
      </w:r>
      <w:r>
        <w:rPr>
          <w:rFonts w:ascii="仿宋" w:eastAsia="仿宋" w:hAnsi="仿宋" w:hint="eastAsia"/>
          <w:bCs/>
          <w:sz w:val="30"/>
          <w:szCs w:val="30"/>
        </w:rPr>
        <w:t>国内有影响、有特色的应用型民办本科院校。</w:t>
      </w:r>
    </w:p>
    <w:p>
      <w:pPr>
        <w:spacing w:line="550" w:lineRule="exact"/>
        <w:ind w:firstLine="588" w:firstLineChars="196"/>
        <w:rPr>
          <w:rFonts w:ascii="楷体" w:eastAsia="楷体" w:hAnsi="楷体" w:cs="楷体"/>
          <w:b/>
          <w:bCs/>
          <w:sz w:val="30"/>
          <w:szCs w:val="30"/>
        </w:rPr>
      </w:pPr>
      <w:bookmarkStart w:id="31" w:name="_Toc17911_WPSOffice_Level2"/>
      <w:r>
        <w:rPr>
          <w:rFonts w:ascii="楷体" w:eastAsia="楷体" w:hAnsi="楷体" w:cs="楷体" w:hint="eastAsia"/>
          <w:b/>
          <w:bCs/>
          <w:sz w:val="30"/>
          <w:szCs w:val="30"/>
        </w:rPr>
        <w:t>（二）办学定位</w:t>
      </w:r>
      <w:bookmarkEnd w:id="31"/>
    </w:p>
    <w:p>
      <w:pPr>
        <w:spacing w:line="550" w:lineRule="exact"/>
        <w:ind w:firstLine="600" w:firstLineChars="200"/>
        <w:rPr>
          <w:rFonts w:ascii="仿宋" w:eastAsia="仿宋" w:hAnsi="仿宋" w:cs="仿宋"/>
          <w:b/>
          <w:sz w:val="30"/>
          <w:szCs w:val="30"/>
        </w:rPr>
      </w:pPr>
      <w:r>
        <w:rPr>
          <w:rFonts w:ascii="仿宋" w:eastAsia="仿宋" w:hAnsi="仿宋" w:hint="eastAsia"/>
          <w:b/>
          <w:bCs/>
          <w:sz w:val="30"/>
          <w:szCs w:val="30"/>
        </w:rPr>
        <w:t>发展目标定位</w:t>
      </w:r>
      <w:r>
        <w:rPr>
          <w:rFonts w:ascii="仿宋" w:eastAsia="仿宋" w:hAnsi="仿宋" w:hint="eastAsia"/>
          <w:bCs/>
          <w:sz w:val="30"/>
          <w:szCs w:val="30"/>
        </w:rPr>
        <w:t>：坚持内涵发展，建成国内有影响、有特色的应用型民办本科院校。</w:t>
      </w:r>
    </w:p>
    <w:p>
      <w:pPr>
        <w:spacing w:line="550" w:lineRule="exact"/>
        <w:ind w:firstLine="600" w:firstLineChars="200"/>
        <w:rPr>
          <w:rFonts w:ascii="仿宋" w:eastAsia="仿宋" w:hAnsi="仿宋"/>
          <w:b/>
          <w:sz w:val="30"/>
          <w:szCs w:val="30"/>
        </w:rPr>
      </w:pPr>
      <w:r>
        <w:rPr>
          <w:rFonts w:ascii="仿宋" w:eastAsia="仿宋" w:hAnsi="仿宋" w:hint="eastAsia"/>
          <w:b/>
          <w:sz w:val="30"/>
          <w:szCs w:val="30"/>
        </w:rPr>
        <w:t>办学类型定位</w:t>
      </w:r>
      <w:r>
        <w:rPr>
          <w:rFonts w:ascii="仿宋" w:eastAsia="仿宋" w:hAnsi="仿宋" w:hint="eastAsia"/>
          <w:sz w:val="30"/>
          <w:szCs w:val="30"/>
        </w:rPr>
        <w:t>：应用型本科院校。</w:t>
      </w:r>
    </w:p>
    <w:p>
      <w:pPr>
        <w:widowControl/>
        <w:spacing w:line="550" w:lineRule="exact"/>
        <w:ind w:firstLine="600" w:firstLineChars="200"/>
        <w:jc w:val="left"/>
        <w:rPr>
          <w:rFonts w:ascii="仿宋" w:eastAsia="仿宋" w:hAnsi="仿宋" w:cs="宋体"/>
          <w:kern w:val="0"/>
          <w:sz w:val="30"/>
          <w:szCs w:val="30"/>
        </w:rPr>
      </w:pPr>
      <w:r>
        <w:rPr>
          <w:rFonts w:ascii="仿宋" w:eastAsia="仿宋" w:hAnsi="仿宋" w:hint="eastAsia"/>
          <w:b/>
          <w:sz w:val="30"/>
          <w:szCs w:val="30"/>
        </w:rPr>
        <w:t>办学层次定位</w:t>
      </w:r>
      <w:r>
        <w:rPr>
          <w:rFonts w:ascii="仿宋" w:eastAsia="仿宋" w:hAnsi="仿宋" w:hint="eastAsia"/>
          <w:sz w:val="30"/>
          <w:szCs w:val="30"/>
        </w:rPr>
        <w:t>：</w:t>
      </w:r>
      <w:r>
        <w:rPr>
          <w:rFonts w:ascii="仿宋" w:eastAsia="仿宋" w:hAnsi="仿宋" w:cs="宋体" w:hint="eastAsia"/>
          <w:kern w:val="0"/>
          <w:sz w:val="30"/>
          <w:szCs w:val="30"/>
        </w:rPr>
        <w:t>以本科教育为主，专科教育为辅，适时发展专业学位硕士研究生教育。</w:t>
      </w:r>
    </w:p>
    <w:p>
      <w:pPr>
        <w:widowControl/>
        <w:spacing w:line="550" w:lineRule="exact"/>
        <w:ind w:firstLine="600" w:firstLineChars="200"/>
        <w:jc w:val="left"/>
        <w:rPr>
          <w:rFonts w:ascii="仿宋" w:eastAsia="仿宋" w:hAnsi="仿宋"/>
          <w:sz w:val="30"/>
          <w:szCs w:val="30"/>
        </w:rPr>
      </w:pPr>
      <w:r>
        <w:rPr>
          <w:rFonts w:ascii="仿宋" w:eastAsia="仿宋" w:hAnsi="仿宋" w:hint="eastAsia"/>
          <w:b/>
          <w:sz w:val="30"/>
          <w:szCs w:val="30"/>
        </w:rPr>
        <w:t>学科专业定位</w:t>
      </w:r>
      <w:r>
        <w:rPr>
          <w:rFonts w:ascii="仿宋" w:eastAsia="仿宋" w:hAnsi="仿宋" w:hint="eastAsia"/>
          <w:sz w:val="30"/>
          <w:szCs w:val="30"/>
        </w:rPr>
        <w:t>：</w:t>
      </w:r>
      <w:r>
        <w:rPr>
          <w:rFonts w:ascii="仿宋" w:eastAsia="仿宋" w:hAnsi="仿宋" w:hint="eastAsia"/>
          <w:bCs/>
          <w:sz w:val="30"/>
          <w:szCs w:val="30"/>
        </w:rPr>
        <w:t>以工学为主，工、管、经、艺</w:t>
      </w:r>
      <w:r>
        <w:rPr>
          <w:rFonts w:ascii="仿宋" w:eastAsia="仿宋" w:hAnsi="仿宋" w:hint="eastAsia"/>
          <w:sz w:val="30"/>
          <w:szCs w:val="30"/>
        </w:rPr>
        <w:t>多学科协调发展。</w:t>
      </w:r>
    </w:p>
    <w:p>
      <w:pPr>
        <w:widowControl/>
        <w:spacing w:line="550" w:lineRule="exact"/>
        <w:ind w:firstLine="600" w:firstLineChars="200"/>
        <w:jc w:val="left"/>
        <w:rPr>
          <w:rFonts w:ascii="仿宋" w:eastAsia="仿宋" w:hAnsi="仿宋"/>
          <w:sz w:val="30"/>
          <w:szCs w:val="30"/>
        </w:rPr>
      </w:pPr>
      <w:r>
        <w:rPr>
          <w:rFonts w:ascii="仿宋" w:eastAsia="仿宋" w:hAnsi="仿宋" w:hint="eastAsia"/>
          <w:b/>
          <w:sz w:val="30"/>
          <w:szCs w:val="30"/>
        </w:rPr>
        <w:t>人才培养定位</w:t>
      </w:r>
      <w:r>
        <w:rPr>
          <w:rFonts w:ascii="仿宋" w:eastAsia="仿宋" w:hAnsi="仿宋" w:hint="eastAsia"/>
          <w:sz w:val="30"/>
          <w:szCs w:val="30"/>
        </w:rPr>
        <w:t>：</w:t>
      </w:r>
      <w:r>
        <w:rPr>
          <w:rFonts w:ascii="仿宋" w:eastAsia="仿宋" w:hAnsi="仿宋" w:cs="宋体" w:hint="eastAsia"/>
          <w:sz w:val="30"/>
          <w:szCs w:val="30"/>
        </w:rPr>
        <w:t>培养德智体美全面发展，掌握必备的基础理论和专业知识，具备良好的职业素养、较强的实践能力和创新意识的应用型</w:t>
      </w:r>
      <w:r>
        <w:rPr>
          <w:rFonts w:ascii="仿宋" w:eastAsia="仿宋" w:hAnsi="仿宋" w:hint="eastAsia"/>
          <w:sz w:val="30"/>
          <w:szCs w:val="30"/>
          <w:shd w:val="clear" w:color="auto" w:fill="FFFFFF"/>
        </w:rPr>
        <w:t>人才</w:t>
      </w:r>
      <w:r>
        <w:rPr>
          <w:rFonts w:ascii="仿宋" w:eastAsia="仿宋" w:hAnsi="仿宋" w:cs="宋体" w:hint="eastAsia"/>
          <w:sz w:val="30"/>
          <w:szCs w:val="30"/>
        </w:rPr>
        <w:t>。</w:t>
      </w:r>
    </w:p>
    <w:p>
      <w:pPr>
        <w:spacing w:line="550" w:lineRule="exact"/>
        <w:ind w:firstLine="588" w:firstLineChars="196"/>
        <w:rPr>
          <w:rFonts w:ascii="仿宋" w:eastAsia="仿宋" w:hAnsi="仿宋"/>
          <w:bCs/>
          <w:sz w:val="30"/>
          <w:szCs w:val="30"/>
        </w:rPr>
      </w:pPr>
      <w:r>
        <w:rPr>
          <w:rFonts w:ascii="仿宋" w:eastAsia="仿宋" w:hAnsi="仿宋" w:hint="eastAsia"/>
          <w:b/>
          <w:bCs/>
          <w:sz w:val="30"/>
          <w:szCs w:val="30"/>
        </w:rPr>
        <w:t>服务面向定位</w:t>
      </w:r>
      <w:r>
        <w:rPr>
          <w:rFonts w:ascii="仿宋" w:eastAsia="仿宋" w:hAnsi="仿宋" w:hint="eastAsia"/>
          <w:bCs/>
          <w:sz w:val="30"/>
          <w:szCs w:val="30"/>
        </w:rPr>
        <w:t>：立足河北，面向京津，辐射全国，服务地方经济社会发展。</w:t>
      </w:r>
    </w:p>
    <w:p>
      <w:pPr>
        <w:spacing w:line="550" w:lineRule="exact"/>
        <w:ind w:firstLine="588" w:firstLineChars="196"/>
        <w:rPr>
          <w:rFonts w:ascii="楷体" w:eastAsia="楷体" w:hAnsi="楷体"/>
          <w:b/>
          <w:sz w:val="30"/>
          <w:szCs w:val="30"/>
        </w:rPr>
      </w:pPr>
      <w:bookmarkStart w:id="32" w:name="_Toc2317_WPSOffice_Level2"/>
      <w:r>
        <w:rPr>
          <w:rFonts w:ascii="楷体" w:eastAsia="楷体" w:hAnsi="楷体" w:hint="eastAsia"/>
          <w:b/>
          <w:sz w:val="30"/>
          <w:szCs w:val="30"/>
        </w:rPr>
        <w:t>（三）发展目标</w:t>
      </w:r>
      <w:bookmarkEnd w:id="32"/>
    </w:p>
    <w:p>
      <w:pPr>
        <w:spacing w:line="550" w:lineRule="exact"/>
        <w:ind w:firstLine="588" w:firstLineChars="196"/>
        <w:rPr>
          <w:rFonts w:ascii="仿宋" w:eastAsia="仿宋" w:hAnsi="仿宋"/>
          <w:b/>
          <w:sz w:val="30"/>
          <w:szCs w:val="30"/>
        </w:rPr>
      </w:pPr>
      <w:bookmarkStart w:id="33" w:name="_Toc10248_WPSOffice_Level3"/>
      <w:r>
        <w:rPr>
          <w:rFonts w:ascii="仿宋" w:eastAsia="仿宋" w:hAnsi="仿宋" w:hint="eastAsia"/>
          <w:b/>
          <w:sz w:val="30"/>
          <w:szCs w:val="30"/>
        </w:rPr>
        <w:t>1.</w:t>
      </w:r>
      <w:r>
        <w:rPr>
          <w:rFonts w:ascii="仿宋" w:eastAsia="仿宋" w:hAnsi="仿宋"/>
          <w:b/>
          <w:sz w:val="30"/>
          <w:szCs w:val="30"/>
        </w:rPr>
        <w:t>总体目标</w:t>
      </w:r>
      <w:bookmarkEnd w:id="33"/>
    </w:p>
    <w:p>
      <w:pPr>
        <w:spacing w:line="550" w:lineRule="exact"/>
        <w:ind w:firstLine="588" w:firstLineChars="196"/>
        <w:rPr>
          <w:rFonts w:ascii="仿宋" w:eastAsia="仿宋" w:hAnsi="仿宋" w:cs="宋体"/>
          <w:kern w:val="0"/>
          <w:sz w:val="30"/>
          <w:szCs w:val="30"/>
        </w:rPr>
      </w:pPr>
      <w:r>
        <w:rPr>
          <w:rFonts w:ascii="仿宋" w:eastAsia="仿宋" w:hAnsi="仿宋"/>
          <w:sz w:val="30"/>
          <w:szCs w:val="30"/>
        </w:rPr>
        <w:t>在20</w:t>
      </w:r>
      <w:r>
        <w:rPr>
          <w:rFonts w:ascii="仿宋" w:eastAsia="仿宋" w:hAnsi="仿宋" w:hint="eastAsia"/>
          <w:sz w:val="30"/>
          <w:szCs w:val="30"/>
        </w:rPr>
        <w:t>20</w:t>
      </w:r>
      <w:r>
        <w:rPr>
          <w:rFonts w:ascii="仿宋" w:eastAsia="仿宋" w:hAnsi="仿宋"/>
          <w:sz w:val="30"/>
          <w:szCs w:val="30"/>
        </w:rPr>
        <w:t>年前后，</w:t>
      </w:r>
      <w:r>
        <w:rPr>
          <w:rFonts w:ascii="仿宋" w:eastAsia="仿宋" w:hAnsi="仿宋" w:hint="eastAsia"/>
          <w:sz w:val="30"/>
          <w:szCs w:val="30"/>
        </w:rPr>
        <w:t>学校以实施本科层次教育为主体、适度控制专科生培养规模，力争实现专业硕士学位教育，建立健全创新创业培养体系，人才培养质量显著提升，学生的创新精神、创业意识及实践能力明显增强，投身创新创业实践的学生显著增加。顺利通过教育部组织的新建</w:t>
      </w:r>
      <w:r>
        <w:rPr>
          <w:rFonts w:ascii="仿宋" w:eastAsia="仿宋" w:hAnsi="仿宋"/>
          <w:sz w:val="30"/>
          <w:szCs w:val="30"/>
        </w:rPr>
        <w:t>本科</w:t>
      </w:r>
      <w:r>
        <w:rPr>
          <w:rFonts w:ascii="仿宋" w:eastAsia="仿宋" w:hAnsi="仿宋" w:hint="eastAsia"/>
          <w:sz w:val="30"/>
          <w:szCs w:val="30"/>
        </w:rPr>
        <w:t>学校</w:t>
      </w:r>
      <w:r>
        <w:rPr>
          <w:rFonts w:ascii="仿宋" w:eastAsia="仿宋" w:hAnsi="仿宋"/>
          <w:sz w:val="30"/>
          <w:szCs w:val="30"/>
        </w:rPr>
        <w:t>教学工作合格评估</w:t>
      </w:r>
      <w:r>
        <w:rPr>
          <w:rFonts w:ascii="仿宋" w:eastAsia="仿宋" w:hAnsi="仿宋" w:hint="eastAsia"/>
          <w:sz w:val="30"/>
          <w:szCs w:val="30"/>
        </w:rPr>
        <w:t>，</w:t>
      </w:r>
      <w:r>
        <w:rPr>
          <w:rFonts w:ascii="仿宋" w:eastAsia="仿宋" w:hAnsi="仿宋"/>
          <w:sz w:val="30"/>
          <w:szCs w:val="30"/>
        </w:rPr>
        <w:t>实现“</w:t>
      </w:r>
      <w:r>
        <w:rPr>
          <w:rFonts w:ascii="仿宋" w:eastAsia="仿宋" w:hAnsi="仿宋" w:hint="eastAsia"/>
          <w:sz w:val="30"/>
          <w:szCs w:val="30"/>
        </w:rPr>
        <w:t>一</w:t>
      </w:r>
      <w:r>
        <w:rPr>
          <w:rFonts w:ascii="仿宋" w:eastAsia="仿宋" w:hAnsi="仿宋"/>
          <w:sz w:val="30"/>
          <w:szCs w:val="30"/>
        </w:rPr>
        <w:t>个</w:t>
      </w:r>
      <w:r>
        <w:rPr>
          <w:rFonts w:ascii="仿宋" w:eastAsia="仿宋" w:hAnsi="仿宋" w:hint="eastAsia"/>
          <w:sz w:val="30"/>
          <w:szCs w:val="30"/>
        </w:rPr>
        <w:t>构建</w:t>
      </w:r>
      <w:r>
        <w:rPr>
          <w:rFonts w:ascii="仿宋" w:eastAsia="仿宋" w:hAnsi="仿宋"/>
          <w:sz w:val="30"/>
          <w:szCs w:val="30"/>
        </w:rPr>
        <w:t>、</w:t>
      </w:r>
      <w:r>
        <w:rPr>
          <w:rFonts w:ascii="仿宋" w:eastAsia="仿宋" w:hAnsi="仿宋" w:hint="eastAsia"/>
          <w:sz w:val="30"/>
          <w:szCs w:val="30"/>
        </w:rPr>
        <w:t>两</w:t>
      </w:r>
      <w:r>
        <w:rPr>
          <w:rFonts w:ascii="仿宋" w:eastAsia="仿宋" w:hAnsi="仿宋"/>
          <w:sz w:val="30"/>
          <w:szCs w:val="30"/>
        </w:rPr>
        <w:t>个</w:t>
      </w:r>
      <w:r>
        <w:rPr>
          <w:rFonts w:ascii="仿宋" w:eastAsia="仿宋" w:hAnsi="仿宋" w:hint="eastAsia"/>
          <w:sz w:val="30"/>
          <w:szCs w:val="30"/>
        </w:rPr>
        <w:t>抓好</w:t>
      </w:r>
      <w:r>
        <w:rPr>
          <w:rFonts w:ascii="仿宋" w:eastAsia="仿宋" w:hAnsi="仿宋"/>
          <w:sz w:val="30"/>
          <w:szCs w:val="30"/>
        </w:rPr>
        <w:t>、三</w:t>
      </w:r>
      <w:r>
        <w:rPr>
          <w:rFonts w:ascii="仿宋" w:eastAsia="仿宋" w:hAnsi="仿宋" w:hint="eastAsia"/>
          <w:sz w:val="30"/>
          <w:szCs w:val="30"/>
        </w:rPr>
        <w:t>个建成、四个发展</w:t>
      </w:r>
      <w:r>
        <w:rPr>
          <w:rFonts w:ascii="仿宋" w:eastAsia="仿宋" w:hAnsi="仿宋" w:hint="eastAsia"/>
          <w:sz w:val="30"/>
          <w:szCs w:val="30"/>
        </w:rPr>
        <w:t>”</w:t>
      </w:r>
      <w:r>
        <w:rPr>
          <w:rFonts w:ascii="仿宋" w:eastAsia="仿宋" w:hAnsi="仿宋" w:hint="eastAsia"/>
          <w:sz w:val="30"/>
          <w:szCs w:val="30"/>
        </w:rPr>
        <w:t>。</w:t>
      </w:r>
    </w:p>
    <w:p>
      <w:pPr>
        <w:pStyle w:val="NormalWeb"/>
        <w:widowControl/>
        <w:spacing w:beforeAutospacing="0" w:afterAutospacing="0" w:line="550" w:lineRule="exact"/>
        <w:ind w:firstLine="600" w:firstLineChars="200"/>
        <w:rPr>
          <w:rFonts w:ascii="仿宋" w:eastAsia="仿宋" w:hAnsi="仿宋" w:cs="宋体"/>
          <w:sz w:val="30"/>
          <w:szCs w:val="30"/>
        </w:rPr>
      </w:pPr>
      <w:r>
        <w:rPr>
          <w:rFonts w:ascii="仿宋" w:eastAsia="仿宋" w:hAnsi="仿宋" w:cs="宋体" w:hint="eastAsia"/>
          <w:b/>
          <w:sz w:val="30"/>
          <w:szCs w:val="30"/>
        </w:rPr>
        <w:t>一个构建</w:t>
      </w:r>
      <w:r>
        <w:rPr>
          <w:rFonts w:ascii="仿宋" w:eastAsia="仿宋" w:hAnsi="仿宋" w:cs="宋体" w:hint="eastAsia"/>
          <w:sz w:val="30"/>
          <w:szCs w:val="30"/>
        </w:rPr>
        <w:t>：抓住京津冀协同发展的契机，积极促进产教深度融合，推动形成校企合作办学、合作育人、合作发展的良好局面，着力构建与区域经济社会发展相适应的人才培养模式。</w:t>
      </w:r>
    </w:p>
    <w:p>
      <w:pPr>
        <w:spacing w:line="550" w:lineRule="exact"/>
        <w:ind w:firstLine="588" w:firstLineChars="196"/>
        <w:rPr>
          <w:rFonts w:ascii="仿宋" w:eastAsia="仿宋" w:hAnsi="仿宋"/>
          <w:sz w:val="30"/>
          <w:szCs w:val="30"/>
        </w:rPr>
      </w:pPr>
      <w:r>
        <w:rPr>
          <w:rFonts w:ascii="仿宋" w:eastAsia="仿宋" w:hAnsi="仿宋" w:cs="宋体" w:hint="eastAsia"/>
          <w:b/>
          <w:kern w:val="0"/>
          <w:sz w:val="30"/>
          <w:szCs w:val="30"/>
        </w:rPr>
        <w:t>两</w:t>
      </w:r>
      <w:r>
        <w:rPr>
          <w:rFonts w:ascii="仿宋" w:eastAsia="仿宋" w:hAnsi="仿宋" w:cs="宋体"/>
          <w:b/>
          <w:kern w:val="0"/>
          <w:sz w:val="30"/>
          <w:szCs w:val="30"/>
        </w:rPr>
        <w:t>个</w:t>
      </w:r>
      <w:r>
        <w:rPr>
          <w:rFonts w:ascii="仿宋" w:eastAsia="仿宋" w:hAnsi="仿宋" w:cs="宋体" w:hint="eastAsia"/>
          <w:b/>
          <w:kern w:val="0"/>
          <w:sz w:val="30"/>
          <w:szCs w:val="30"/>
        </w:rPr>
        <w:t>抓好</w:t>
      </w:r>
      <w:r>
        <w:rPr>
          <w:rFonts w:ascii="仿宋" w:eastAsia="仿宋" w:hAnsi="仿宋" w:cs="宋体"/>
          <w:kern w:val="0"/>
          <w:sz w:val="30"/>
          <w:szCs w:val="30"/>
        </w:rPr>
        <w:t>：</w:t>
      </w:r>
      <w:r>
        <w:rPr>
          <w:rFonts w:ascii="仿宋" w:eastAsia="仿宋" w:hAnsi="仿宋" w:hint="eastAsia"/>
          <w:sz w:val="30"/>
          <w:szCs w:val="30"/>
        </w:rPr>
        <w:t>一是</w:t>
      </w:r>
      <w:r>
        <w:rPr>
          <w:rFonts w:ascii="仿宋" w:eastAsia="仿宋" w:hAnsi="仿宋"/>
          <w:sz w:val="30"/>
          <w:szCs w:val="30"/>
        </w:rPr>
        <w:t>营造良好的人文氛围</w:t>
      </w:r>
      <w:r>
        <w:rPr>
          <w:rFonts w:ascii="仿宋" w:eastAsia="仿宋" w:hAnsi="仿宋" w:hint="eastAsia"/>
          <w:sz w:val="30"/>
          <w:szCs w:val="30"/>
        </w:rPr>
        <w:t>和薪酬福利制度，</w:t>
      </w:r>
      <w:r>
        <w:rPr>
          <w:rFonts w:ascii="仿宋" w:eastAsia="仿宋" w:hAnsi="仿宋"/>
          <w:sz w:val="30"/>
          <w:szCs w:val="30"/>
        </w:rPr>
        <w:t>利用区域优势、学科优势和丰富的优质教育资源，高标准、高要求抓好</w:t>
      </w:r>
      <w:r>
        <w:rPr>
          <w:rFonts w:ascii="仿宋" w:eastAsia="仿宋" w:hAnsi="仿宋" w:cs="仿宋" w:hint="eastAsia"/>
          <w:sz w:val="30"/>
          <w:szCs w:val="30"/>
        </w:rPr>
        <w:t>“</w:t>
      </w:r>
      <w:r>
        <w:rPr>
          <w:rFonts w:ascii="仿宋" w:eastAsia="仿宋" w:hAnsi="仿宋" w:cs="仿宋" w:hint="eastAsia"/>
          <w:sz w:val="30"/>
          <w:szCs w:val="30"/>
        </w:rPr>
        <w:t>双师双能型</w:t>
      </w:r>
      <w:r>
        <w:rPr>
          <w:rFonts w:ascii="仿宋" w:eastAsia="仿宋" w:hAnsi="仿宋" w:cs="仿宋" w:hint="eastAsia"/>
          <w:sz w:val="30"/>
          <w:szCs w:val="30"/>
        </w:rPr>
        <w:t>”</w:t>
      </w:r>
      <w:r>
        <w:rPr>
          <w:rFonts w:ascii="仿宋" w:eastAsia="仿宋" w:hAnsi="仿宋"/>
          <w:sz w:val="30"/>
          <w:szCs w:val="30"/>
        </w:rPr>
        <w:t>师资队伍建设</w:t>
      </w:r>
      <w:r>
        <w:rPr>
          <w:rFonts w:ascii="仿宋" w:eastAsia="仿宋" w:hAnsi="仿宋" w:hint="eastAsia"/>
          <w:sz w:val="30"/>
          <w:szCs w:val="30"/>
        </w:rPr>
        <w:t>；二是</w:t>
      </w:r>
      <w:r>
        <w:rPr>
          <w:rFonts w:ascii="仿宋" w:eastAsia="仿宋" w:hAnsi="仿宋"/>
          <w:sz w:val="30"/>
          <w:szCs w:val="30"/>
        </w:rPr>
        <w:t>引进和培养一批</w:t>
      </w:r>
      <w:r>
        <w:rPr>
          <w:rFonts w:ascii="仿宋" w:eastAsia="仿宋" w:hAnsi="仿宋" w:hint="eastAsia"/>
          <w:sz w:val="30"/>
          <w:szCs w:val="30"/>
        </w:rPr>
        <w:t>专硕</w:t>
      </w:r>
      <w:r>
        <w:rPr>
          <w:rFonts w:ascii="仿宋" w:eastAsia="仿宋" w:hAnsi="仿宋"/>
          <w:sz w:val="30"/>
          <w:szCs w:val="30"/>
        </w:rPr>
        <w:t>领军人才和中青年学科带头人，</w:t>
      </w:r>
      <w:r>
        <w:rPr>
          <w:rFonts w:ascii="仿宋" w:eastAsia="仿宋" w:hAnsi="仿宋" w:hint="eastAsia"/>
          <w:sz w:val="30"/>
          <w:szCs w:val="30"/>
        </w:rPr>
        <w:t>抓好</w:t>
      </w:r>
      <w:r>
        <w:rPr>
          <w:rFonts w:ascii="仿宋" w:eastAsia="仿宋" w:hAnsi="仿宋"/>
          <w:sz w:val="30"/>
          <w:szCs w:val="30"/>
        </w:rPr>
        <w:t>高层次、高素质的教学科研团队</w:t>
      </w:r>
      <w:r>
        <w:rPr>
          <w:rFonts w:ascii="仿宋" w:eastAsia="仿宋" w:hAnsi="仿宋" w:hint="eastAsia"/>
          <w:sz w:val="30"/>
          <w:szCs w:val="30"/>
        </w:rPr>
        <w:t>建设。</w:t>
      </w:r>
    </w:p>
    <w:p>
      <w:pPr>
        <w:spacing w:line="550" w:lineRule="exact"/>
        <w:ind w:firstLine="588" w:firstLineChars="196"/>
        <w:rPr>
          <w:rFonts w:ascii="仿宋" w:eastAsia="仿宋" w:hAnsi="仿宋"/>
          <w:sz w:val="30"/>
          <w:szCs w:val="30"/>
        </w:rPr>
      </w:pPr>
      <w:r>
        <w:rPr>
          <w:rFonts w:ascii="仿宋" w:eastAsia="仿宋" w:hAnsi="仿宋" w:cs="宋体"/>
          <w:b/>
          <w:kern w:val="0"/>
          <w:sz w:val="30"/>
          <w:szCs w:val="30"/>
        </w:rPr>
        <w:t>三</w:t>
      </w:r>
      <w:r>
        <w:rPr>
          <w:rFonts w:ascii="仿宋" w:eastAsia="仿宋" w:hAnsi="仿宋" w:cs="宋体" w:hint="eastAsia"/>
          <w:b/>
          <w:kern w:val="0"/>
          <w:sz w:val="30"/>
          <w:szCs w:val="30"/>
        </w:rPr>
        <w:t>个建成</w:t>
      </w:r>
      <w:r>
        <w:rPr>
          <w:rFonts w:ascii="仿宋" w:eastAsia="仿宋" w:hAnsi="仿宋" w:cs="宋体"/>
          <w:kern w:val="0"/>
          <w:sz w:val="30"/>
          <w:szCs w:val="30"/>
        </w:rPr>
        <w:t>：</w:t>
      </w:r>
      <w:r>
        <w:rPr>
          <w:rFonts w:ascii="仿宋" w:eastAsia="仿宋" w:hAnsi="仿宋" w:hint="eastAsia"/>
          <w:sz w:val="30"/>
          <w:szCs w:val="30"/>
        </w:rPr>
        <w:t>一是提高办学层次，建成1－2个专业硕士学位点；二是管理重心下移，提高二级学院的自主权；三是瞄准前沿发展趋势，建成</w:t>
      </w:r>
      <w:r>
        <w:rPr>
          <w:rFonts w:ascii="仿宋" w:eastAsia="仿宋" w:hAnsi="仿宋"/>
          <w:sz w:val="30"/>
          <w:szCs w:val="30"/>
        </w:rPr>
        <w:t>综合实验</w:t>
      </w:r>
      <w:r>
        <w:rPr>
          <w:rFonts w:ascii="仿宋" w:eastAsia="仿宋" w:hAnsi="仿宋" w:hint="eastAsia"/>
          <w:sz w:val="30"/>
          <w:szCs w:val="30"/>
        </w:rPr>
        <w:t>中心</w:t>
      </w:r>
      <w:r>
        <w:rPr>
          <w:rFonts w:ascii="仿宋" w:eastAsia="仿宋" w:hAnsi="仿宋"/>
          <w:sz w:val="30"/>
          <w:szCs w:val="30"/>
        </w:rPr>
        <w:t>、创新创业中心</w:t>
      </w:r>
      <w:r>
        <w:rPr>
          <w:rFonts w:ascii="仿宋" w:eastAsia="仿宋" w:hAnsi="仿宋" w:hint="eastAsia"/>
          <w:sz w:val="30"/>
          <w:szCs w:val="30"/>
        </w:rPr>
        <w:t>各</w:t>
      </w:r>
      <w:r>
        <w:rPr>
          <w:rFonts w:ascii="仿宋" w:eastAsia="仿宋" w:hAnsi="仿宋"/>
          <w:sz w:val="30"/>
          <w:szCs w:val="30"/>
        </w:rPr>
        <w:t>1</w:t>
      </w:r>
      <w:r>
        <w:rPr>
          <w:rFonts w:ascii="仿宋" w:eastAsia="仿宋" w:hAnsi="仿宋" w:hint="eastAsia"/>
          <w:sz w:val="30"/>
          <w:szCs w:val="30"/>
        </w:rPr>
        <w:t>座。</w:t>
      </w:r>
    </w:p>
    <w:p>
      <w:pPr>
        <w:spacing w:line="550" w:lineRule="exact"/>
        <w:ind w:firstLine="588" w:firstLineChars="196"/>
        <w:rPr>
          <w:rFonts w:ascii="仿宋" w:eastAsia="仿宋" w:hAnsi="仿宋" w:cs="宋体"/>
          <w:kern w:val="0"/>
          <w:sz w:val="30"/>
          <w:szCs w:val="30"/>
        </w:rPr>
      </w:pPr>
      <w:r>
        <w:rPr>
          <w:rFonts w:ascii="仿宋" w:eastAsia="仿宋" w:hAnsi="仿宋" w:cs="宋体" w:hint="eastAsia"/>
          <w:b/>
          <w:kern w:val="0"/>
          <w:sz w:val="30"/>
          <w:szCs w:val="30"/>
        </w:rPr>
        <w:t>四个发展</w:t>
      </w:r>
      <w:r>
        <w:rPr>
          <w:rFonts w:ascii="仿宋" w:eastAsia="仿宋" w:hAnsi="仿宋" w:cs="宋体" w:hint="eastAsia"/>
          <w:kern w:val="0"/>
          <w:sz w:val="30"/>
          <w:szCs w:val="30"/>
        </w:rPr>
        <w:t>：</w:t>
      </w:r>
      <w:r>
        <w:rPr>
          <w:rFonts w:ascii="仿宋" w:eastAsia="仿宋" w:hAnsi="仿宋" w:cs="宋体" w:hint="eastAsia"/>
          <w:bCs/>
          <w:sz w:val="30"/>
          <w:szCs w:val="30"/>
        </w:rPr>
        <w:t>一是以教学为中心，加快内涵发展。</w:t>
      </w:r>
      <w:r>
        <w:rPr>
          <w:rFonts w:ascii="仿宋" w:eastAsia="仿宋" w:hAnsi="仿宋"/>
          <w:bCs/>
          <w:sz w:val="30"/>
          <w:szCs w:val="30"/>
        </w:rPr>
        <w:t>着力提高教学水平和创新</w:t>
      </w:r>
      <w:r>
        <w:rPr>
          <w:rFonts w:ascii="仿宋" w:eastAsia="仿宋" w:hAnsi="仿宋" w:hint="eastAsia"/>
          <w:bCs/>
          <w:sz w:val="30"/>
          <w:szCs w:val="30"/>
        </w:rPr>
        <w:t>创业</w:t>
      </w:r>
      <w:r>
        <w:rPr>
          <w:rFonts w:ascii="仿宋" w:eastAsia="仿宋" w:hAnsi="仿宋"/>
          <w:bCs/>
          <w:sz w:val="30"/>
          <w:szCs w:val="30"/>
        </w:rPr>
        <w:t>教育的能力</w:t>
      </w:r>
      <w:r>
        <w:rPr>
          <w:rFonts w:ascii="仿宋" w:eastAsia="仿宋" w:hAnsi="仿宋" w:hint="eastAsia"/>
          <w:bCs/>
          <w:sz w:val="30"/>
          <w:szCs w:val="30"/>
        </w:rPr>
        <w:t>；着力提高人才培养与社会需求的契合度，着力提升人才培养的质量和水平；着力提升教师队伍水平；着力提升</w:t>
      </w:r>
      <w:r>
        <w:rPr>
          <w:rFonts w:ascii="仿宋" w:eastAsia="仿宋" w:hAnsi="仿宋" w:hint="eastAsia"/>
          <w:bCs/>
          <w:sz w:val="30"/>
          <w:szCs w:val="30"/>
        </w:rPr>
        <w:t>“</w:t>
      </w:r>
      <w:r>
        <w:rPr>
          <w:rFonts w:ascii="仿宋" w:eastAsia="仿宋" w:hAnsi="仿宋" w:hint="eastAsia"/>
          <w:bCs/>
          <w:sz w:val="30"/>
          <w:szCs w:val="30"/>
        </w:rPr>
        <w:t>校风、学风、教风</w:t>
      </w:r>
      <w:r>
        <w:rPr>
          <w:rFonts w:ascii="仿宋" w:eastAsia="仿宋" w:hAnsi="仿宋" w:hint="eastAsia"/>
          <w:bCs/>
          <w:sz w:val="30"/>
          <w:szCs w:val="30"/>
        </w:rPr>
        <w:t>”</w:t>
      </w:r>
      <w:r>
        <w:rPr>
          <w:rFonts w:ascii="仿宋" w:eastAsia="仿宋" w:hAnsi="仿宋" w:hint="eastAsia"/>
          <w:bCs/>
          <w:sz w:val="30"/>
          <w:szCs w:val="30"/>
        </w:rPr>
        <w:t>建设质量和水平，把内涵发展贯穿于人才培养、科学研究、社会服务、文化传承与创新全过程。</w:t>
      </w:r>
    </w:p>
    <w:p>
      <w:pPr>
        <w:spacing w:line="550" w:lineRule="exact"/>
        <w:ind w:firstLine="588" w:firstLineChars="196"/>
        <w:rPr>
          <w:rFonts w:ascii="仿宋" w:eastAsia="仿宋" w:hAnsi="仿宋" w:cs="宋体"/>
          <w:bCs/>
          <w:sz w:val="30"/>
          <w:szCs w:val="30"/>
        </w:rPr>
      </w:pPr>
      <w:r>
        <w:rPr>
          <w:rFonts w:ascii="仿宋" w:eastAsia="仿宋" w:hAnsi="仿宋" w:cs="宋体" w:hint="eastAsia"/>
          <w:bCs/>
          <w:sz w:val="30"/>
          <w:szCs w:val="30"/>
        </w:rPr>
        <w:t>二是以人才培养为根本任务，突出特色发展。</w:t>
      </w:r>
      <w:r>
        <w:rPr>
          <w:rFonts w:ascii="仿宋" w:eastAsia="仿宋" w:hAnsi="仿宋" w:hint="eastAsia"/>
          <w:sz w:val="30"/>
          <w:szCs w:val="30"/>
        </w:rPr>
        <w:t>教育与产业结合、学校与企业结合、教学与生产结合、学习与就业结合，</w:t>
      </w:r>
      <w:r>
        <w:rPr>
          <w:rFonts w:ascii="仿宋" w:eastAsia="仿宋" w:hAnsi="仿宋" w:hint="eastAsia"/>
          <w:bCs/>
          <w:sz w:val="30"/>
          <w:szCs w:val="30"/>
        </w:rPr>
        <w:t>对接产业、联合骨干企业，</w:t>
      </w:r>
      <w:r>
        <w:rPr>
          <w:rFonts w:ascii="仿宋" w:eastAsia="仿宋" w:hAnsi="仿宋" w:hint="eastAsia"/>
          <w:sz w:val="30"/>
          <w:szCs w:val="30"/>
        </w:rPr>
        <w:t>走出一条与服务产业紧密关联、深度融合、无缝对接的办学新路子。</w:t>
      </w:r>
    </w:p>
    <w:p>
      <w:pPr>
        <w:widowControl/>
        <w:adjustRightInd w:val="0"/>
        <w:spacing w:line="550" w:lineRule="exact"/>
        <w:ind w:firstLine="600" w:firstLineChars="200"/>
        <w:jc w:val="left"/>
        <w:rPr>
          <w:rFonts w:ascii="仿宋" w:eastAsia="仿宋" w:hAnsi="仿宋" w:cs="宋体"/>
          <w:kern w:val="0"/>
          <w:sz w:val="30"/>
          <w:szCs w:val="30"/>
        </w:rPr>
      </w:pPr>
      <w:r>
        <w:rPr>
          <w:rFonts w:ascii="仿宋" w:eastAsia="仿宋" w:hAnsi="仿宋" w:hint="eastAsia"/>
          <w:bCs/>
          <w:sz w:val="30"/>
          <w:szCs w:val="30"/>
        </w:rPr>
        <w:t>三是以市场为导向，</w:t>
      </w:r>
      <w:r>
        <w:rPr>
          <w:rFonts w:ascii="仿宋" w:eastAsia="仿宋" w:hAnsi="仿宋"/>
          <w:bCs/>
          <w:sz w:val="30"/>
          <w:szCs w:val="30"/>
        </w:rPr>
        <w:t>坚持错位发展</w:t>
      </w:r>
      <w:r>
        <w:rPr>
          <w:rFonts w:ascii="仿宋" w:eastAsia="仿宋" w:hAnsi="仿宋" w:hint="eastAsia"/>
          <w:bCs/>
          <w:sz w:val="30"/>
          <w:szCs w:val="30"/>
        </w:rPr>
        <w:t>。</w:t>
      </w:r>
      <w:r>
        <w:rPr>
          <w:rFonts w:ascii="仿宋" w:eastAsia="仿宋" w:hAnsi="仿宋" w:cs="宋体" w:hint="eastAsia"/>
          <w:sz w:val="30"/>
          <w:szCs w:val="30"/>
        </w:rPr>
        <w:t>“</w:t>
      </w:r>
      <w:r>
        <w:rPr>
          <w:rFonts w:ascii="仿宋" w:eastAsia="仿宋" w:hAnsi="仿宋" w:cs="宋体" w:hint="eastAsia"/>
          <w:sz w:val="30"/>
          <w:szCs w:val="30"/>
        </w:rPr>
        <w:t>在市场中求生存求发展</w:t>
      </w:r>
      <w:r>
        <w:rPr>
          <w:rFonts w:ascii="仿宋" w:eastAsia="仿宋" w:hAnsi="仿宋" w:cs="宋体" w:hint="eastAsia"/>
          <w:sz w:val="30"/>
          <w:szCs w:val="30"/>
        </w:rPr>
        <w:t>”</w:t>
      </w:r>
      <w:r>
        <w:rPr>
          <w:rFonts w:ascii="仿宋" w:eastAsia="仿宋" w:hAnsi="仿宋" w:cs="宋体" w:hint="eastAsia"/>
          <w:sz w:val="30"/>
          <w:szCs w:val="30"/>
        </w:rPr>
        <w:t>，</w:t>
      </w:r>
      <w:r>
        <w:rPr>
          <w:rFonts w:ascii="仿宋" w:eastAsia="仿宋" w:hAnsi="仿宋" w:hint="eastAsia"/>
          <w:bCs/>
          <w:sz w:val="30"/>
          <w:szCs w:val="30"/>
        </w:rPr>
        <w:t>坚持社会需求导向，</w:t>
      </w:r>
      <w:r>
        <w:rPr>
          <w:rFonts w:ascii="仿宋" w:eastAsia="仿宋" w:hAnsi="仿宋"/>
          <w:bCs/>
          <w:sz w:val="30"/>
          <w:szCs w:val="30"/>
        </w:rPr>
        <w:t>着力对接产业链</w:t>
      </w:r>
      <w:r>
        <w:rPr>
          <w:rFonts w:ascii="仿宋" w:eastAsia="仿宋" w:hAnsi="仿宋" w:hint="eastAsia"/>
          <w:bCs/>
          <w:sz w:val="30"/>
          <w:szCs w:val="30"/>
        </w:rPr>
        <w:t>，</w:t>
      </w:r>
      <w:r>
        <w:rPr>
          <w:rFonts w:ascii="仿宋" w:eastAsia="仿宋" w:hAnsi="仿宋"/>
          <w:bCs/>
          <w:sz w:val="30"/>
          <w:szCs w:val="30"/>
        </w:rPr>
        <w:t>明晰企业需求</w:t>
      </w:r>
      <w:r>
        <w:rPr>
          <w:rFonts w:ascii="仿宋" w:eastAsia="仿宋" w:hAnsi="仿宋" w:hint="eastAsia"/>
          <w:bCs/>
          <w:sz w:val="30"/>
          <w:szCs w:val="30"/>
        </w:rPr>
        <w:t>，优化人才培养过程，</w:t>
      </w:r>
      <w:r>
        <w:rPr>
          <w:rFonts w:ascii="仿宋" w:eastAsia="仿宋" w:hAnsi="仿宋"/>
          <w:bCs/>
          <w:sz w:val="30"/>
          <w:szCs w:val="30"/>
        </w:rPr>
        <w:t>做到人无我有、</w:t>
      </w:r>
      <w:r>
        <w:rPr>
          <w:rFonts w:ascii="仿宋" w:eastAsia="仿宋" w:hAnsi="仿宋" w:cs="宋体"/>
          <w:kern w:val="0"/>
          <w:sz w:val="30"/>
          <w:szCs w:val="30"/>
        </w:rPr>
        <w:t>人有我优、人优我新、人新我特</w:t>
      </w:r>
      <w:r>
        <w:rPr>
          <w:rFonts w:ascii="仿宋" w:eastAsia="仿宋" w:hAnsi="仿宋" w:cs="宋体" w:hint="eastAsia"/>
          <w:kern w:val="0"/>
          <w:sz w:val="30"/>
          <w:szCs w:val="30"/>
        </w:rPr>
        <w:t>，</w:t>
      </w:r>
      <w:r>
        <w:rPr>
          <w:rFonts w:ascii="仿宋" w:eastAsia="仿宋" w:hAnsi="仿宋" w:cs="宋体"/>
          <w:kern w:val="0"/>
          <w:sz w:val="30"/>
          <w:szCs w:val="30"/>
        </w:rPr>
        <w:t>主动转型、加快转型，</w:t>
      </w:r>
      <w:r>
        <w:rPr>
          <w:rFonts w:ascii="仿宋" w:eastAsia="仿宋" w:hAnsi="仿宋"/>
          <w:bCs/>
          <w:sz w:val="30"/>
          <w:szCs w:val="30"/>
        </w:rPr>
        <w:t>实现行业</w:t>
      </w:r>
      <w:r>
        <w:rPr>
          <w:rFonts w:ascii="仿宋" w:eastAsia="仿宋" w:hAnsi="仿宋" w:hint="eastAsia"/>
          <w:bCs/>
          <w:sz w:val="30"/>
          <w:szCs w:val="30"/>
        </w:rPr>
        <w:t>、</w:t>
      </w:r>
      <w:r>
        <w:rPr>
          <w:rFonts w:ascii="仿宋" w:eastAsia="仿宋" w:hAnsi="仿宋"/>
          <w:bCs/>
          <w:sz w:val="30"/>
          <w:szCs w:val="30"/>
        </w:rPr>
        <w:t>企业等社会资源在校园集聚</w:t>
      </w:r>
      <w:r>
        <w:rPr>
          <w:rFonts w:ascii="仿宋" w:eastAsia="仿宋" w:hAnsi="仿宋" w:hint="eastAsia"/>
          <w:bCs/>
          <w:sz w:val="30"/>
          <w:szCs w:val="30"/>
        </w:rPr>
        <w:t>，</w:t>
      </w:r>
      <w:r>
        <w:rPr>
          <w:rFonts w:ascii="仿宋" w:eastAsia="仿宋" w:hAnsi="仿宋"/>
          <w:bCs/>
          <w:sz w:val="30"/>
          <w:szCs w:val="30"/>
        </w:rPr>
        <w:t>努力打造应用技术型人才的育人平台</w:t>
      </w:r>
      <w:r>
        <w:rPr>
          <w:rFonts w:ascii="仿宋" w:eastAsia="仿宋" w:hAnsi="仿宋" w:hint="eastAsia"/>
          <w:bCs/>
          <w:sz w:val="30"/>
          <w:szCs w:val="30"/>
        </w:rPr>
        <w:t>。</w:t>
      </w:r>
    </w:p>
    <w:p>
      <w:pPr>
        <w:widowControl/>
        <w:adjustRightInd w:val="0"/>
        <w:spacing w:line="550" w:lineRule="exact"/>
        <w:ind w:firstLine="600" w:firstLineChars="200"/>
        <w:jc w:val="left"/>
        <w:rPr>
          <w:rFonts w:ascii="仿宋" w:eastAsia="仿宋" w:hAnsi="仿宋"/>
          <w:bCs/>
          <w:sz w:val="30"/>
          <w:szCs w:val="30"/>
        </w:rPr>
      </w:pPr>
      <w:r>
        <w:rPr>
          <w:rFonts w:ascii="仿宋" w:eastAsia="仿宋" w:hAnsi="仿宋" w:hint="eastAsia"/>
          <w:bCs/>
          <w:sz w:val="30"/>
          <w:szCs w:val="30"/>
        </w:rPr>
        <w:t>四是</w:t>
      </w:r>
      <w:r>
        <w:rPr>
          <w:rFonts w:ascii="仿宋" w:eastAsia="仿宋" w:hAnsi="仿宋" w:cs="宋体" w:hint="eastAsia"/>
          <w:bCs/>
          <w:sz w:val="30"/>
          <w:szCs w:val="30"/>
        </w:rPr>
        <w:t>以创新为驱动，推动创新发展。</w:t>
      </w:r>
      <w:r>
        <w:rPr>
          <w:rFonts w:ascii="仿宋" w:eastAsia="仿宋" w:hAnsi="仿宋" w:hint="eastAsia"/>
          <w:bCs/>
          <w:sz w:val="30"/>
          <w:szCs w:val="30"/>
        </w:rPr>
        <w:t>完善内部治理结构，解决制约学校发展的体制机制障碍，提高职能部门管理服务效率和水平，激发二级学院办学活力，激发教职员工工作的积极性、主动性和创造性，提高资源利用率和效益，实现学校又好又快科学发展。</w:t>
      </w:r>
    </w:p>
    <w:p>
      <w:pPr>
        <w:spacing w:line="550" w:lineRule="exact"/>
        <w:ind w:firstLine="588" w:firstLineChars="196"/>
        <w:rPr>
          <w:rFonts w:ascii="仿宋" w:eastAsia="仿宋" w:hAnsi="仿宋"/>
          <w:b/>
          <w:sz w:val="30"/>
          <w:szCs w:val="30"/>
        </w:rPr>
      </w:pPr>
      <w:bookmarkStart w:id="34" w:name="_Toc12206_WPSOffice_Level3"/>
      <w:r>
        <w:rPr>
          <w:rFonts w:ascii="仿宋" w:eastAsia="仿宋" w:hAnsi="仿宋" w:hint="eastAsia"/>
          <w:b/>
          <w:sz w:val="30"/>
          <w:szCs w:val="30"/>
        </w:rPr>
        <w:t>2.</w:t>
      </w:r>
      <w:r>
        <w:rPr>
          <w:rFonts w:ascii="仿宋" w:eastAsia="仿宋" w:hAnsi="仿宋"/>
          <w:b/>
          <w:sz w:val="30"/>
          <w:szCs w:val="30"/>
        </w:rPr>
        <w:t>具体目标</w:t>
      </w:r>
      <w:bookmarkEnd w:id="34"/>
    </w:p>
    <w:p>
      <w:pPr>
        <w:spacing w:line="550" w:lineRule="exact"/>
        <w:ind w:firstLine="588" w:firstLineChars="196"/>
        <w:rPr>
          <w:rFonts w:ascii="仿宋" w:eastAsia="仿宋" w:hAnsi="仿宋"/>
          <w:b/>
          <w:sz w:val="30"/>
          <w:szCs w:val="30"/>
        </w:rPr>
      </w:pPr>
      <w:r>
        <w:rPr>
          <w:rFonts w:ascii="仿宋" w:eastAsia="仿宋" w:hAnsi="仿宋"/>
          <w:b/>
          <w:sz w:val="30"/>
          <w:szCs w:val="30"/>
        </w:rPr>
        <w:t>（1）人才培养</w:t>
      </w:r>
      <w:r>
        <w:rPr>
          <w:rFonts w:ascii="仿宋" w:eastAsia="仿宋" w:hAnsi="仿宋" w:hint="eastAsia"/>
          <w:b/>
          <w:sz w:val="30"/>
          <w:szCs w:val="30"/>
        </w:rPr>
        <w:t>有特色</w:t>
      </w:r>
    </w:p>
    <w:p>
      <w:pPr>
        <w:spacing w:line="550" w:lineRule="exact"/>
        <w:ind w:firstLine="588" w:firstLineChars="196"/>
        <w:rPr>
          <w:rFonts w:ascii="仿宋" w:eastAsia="仿宋" w:hAnsi="仿宋"/>
          <w:sz w:val="30"/>
          <w:szCs w:val="30"/>
        </w:rPr>
      </w:pPr>
      <w:r>
        <w:rPr>
          <w:rFonts w:ascii="仿宋" w:eastAsia="仿宋" w:hAnsi="仿宋"/>
          <w:sz w:val="30"/>
          <w:szCs w:val="30"/>
        </w:rPr>
        <w:t>逐步完善以学生为本的教育思想体系和教学体系，</w:t>
      </w:r>
      <w:r>
        <w:rPr>
          <w:rFonts w:ascii="仿宋" w:eastAsia="仿宋" w:hAnsi="仿宋" w:hint="eastAsia"/>
          <w:sz w:val="30"/>
          <w:szCs w:val="30"/>
        </w:rPr>
        <w:t>着力拓展校企合作的广度和深度，着力</w:t>
      </w:r>
      <w:r>
        <w:rPr>
          <w:rFonts w:ascii="仿宋" w:eastAsia="仿宋" w:hAnsi="仿宋"/>
          <w:sz w:val="30"/>
          <w:szCs w:val="30"/>
        </w:rPr>
        <w:t>构建</w:t>
      </w:r>
      <w:r>
        <w:rPr>
          <w:rFonts w:ascii="仿宋" w:eastAsia="仿宋" w:hAnsi="仿宋" w:hint="eastAsia"/>
          <w:sz w:val="30"/>
          <w:szCs w:val="30"/>
        </w:rPr>
        <w:t>支撑专业能力和行业能力培养的教学内容和课程体系以及校内外衔接的实践教学环境，努力打造产教融合、协同育人的平台和创新创业基地，</w:t>
      </w:r>
      <w:r>
        <w:rPr>
          <w:rFonts w:ascii="仿宋" w:eastAsia="仿宋" w:hAnsi="仿宋"/>
          <w:sz w:val="30"/>
          <w:szCs w:val="30"/>
        </w:rPr>
        <w:t>全面提高学生的</w:t>
      </w:r>
      <w:r>
        <w:rPr>
          <w:rFonts w:ascii="仿宋" w:eastAsia="仿宋" w:hAnsi="仿宋" w:hint="eastAsia"/>
          <w:sz w:val="30"/>
          <w:szCs w:val="30"/>
        </w:rPr>
        <w:t>职业素养</w:t>
      </w:r>
      <w:r>
        <w:rPr>
          <w:rFonts w:ascii="仿宋" w:eastAsia="仿宋" w:hAnsi="仿宋"/>
          <w:sz w:val="30"/>
          <w:szCs w:val="30"/>
        </w:rPr>
        <w:t>，突出人才培养特色，提高人才培养质量。</w:t>
      </w:r>
    </w:p>
    <w:p>
      <w:pPr>
        <w:spacing w:line="550" w:lineRule="exact"/>
        <w:ind w:firstLine="588" w:firstLineChars="196"/>
        <w:rPr>
          <w:rFonts w:ascii="仿宋" w:eastAsia="仿宋" w:hAnsi="仿宋"/>
          <w:b/>
          <w:sz w:val="30"/>
          <w:szCs w:val="30"/>
        </w:rPr>
      </w:pPr>
      <w:r>
        <w:rPr>
          <w:rFonts w:ascii="仿宋" w:eastAsia="仿宋" w:hAnsi="仿宋"/>
          <w:b/>
          <w:sz w:val="30"/>
          <w:szCs w:val="30"/>
        </w:rPr>
        <w:t>（2）</w:t>
      </w:r>
      <w:r>
        <w:rPr>
          <w:rFonts w:ascii="仿宋" w:eastAsia="仿宋" w:hAnsi="仿宋" w:hint="eastAsia"/>
          <w:b/>
          <w:sz w:val="30"/>
          <w:szCs w:val="30"/>
        </w:rPr>
        <w:t>专业建设上水平</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制定并实施《河北科技学院</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专业建设规划》，</w:t>
      </w:r>
      <w:r>
        <w:rPr>
          <w:rFonts w:ascii="仿宋" w:eastAsia="仿宋" w:hAnsi="仿宋"/>
          <w:sz w:val="30"/>
          <w:szCs w:val="30"/>
        </w:rPr>
        <w:t>强化以</w:t>
      </w:r>
      <w:r>
        <w:rPr>
          <w:rFonts w:ascii="仿宋" w:eastAsia="仿宋" w:hAnsi="仿宋" w:hint="eastAsia"/>
          <w:sz w:val="30"/>
          <w:szCs w:val="30"/>
        </w:rPr>
        <w:t>专业</w:t>
      </w:r>
      <w:r>
        <w:rPr>
          <w:rFonts w:ascii="仿宋" w:eastAsia="仿宋" w:hAnsi="仿宋"/>
          <w:sz w:val="30"/>
          <w:szCs w:val="30"/>
        </w:rPr>
        <w:t>建设为龙头理念，优化</w:t>
      </w:r>
      <w:r>
        <w:rPr>
          <w:rFonts w:ascii="仿宋" w:eastAsia="仿宋" w:hAnsi="仿宋" w:hint="eastAsia"/>
          <w:sz w:val="30"/>
          <w:szCs w:val="30"/>
        </w:rPr>
        <w:t>专业</w:t>
      </w:r>
      <w:r>
        <w:rPr>
          <w:rFonts w:ascii="仿宋" w:eastAsia="仿宋" w:hAnsi="仿宋"/>
          <w:sz w:val="30"/>
          <w:szCs w:val="30"/>
        </w:rPr>
        <w:t>布局与</w:t>
      </w:r>
      <w:r>
        <w:rPr>
          <w:rFonts w:ascii="仿宋" w:eastAsia="仿宋" w:hAnsi="仿宋" w:hint="eastAsia"/>
          <w:sz w:val="30"/>
          <w:szCs w:val="30"/>
        </w:rPr>
        <w:t>专业</w:t>
      </w:r>
      <w:r>
        <w:rPr>
          <w:rFonts w:ascii="仿宋" w:eastAsia="仿宋" w:hAnsi="仿宋"/>
          <w:sz w:val="30"/>
          <w:szCs w:val="30"/>
        </w:rPr>
        <w:t>结构。努力建设</w:t>
      </w:r>
      <w:r>
        <w:rPr>
          <w:rFonts w:ascii="仿宋" w:eastAsia="仿宋" w:hAnsi="仿宋" w:hint="eastAsia"/>
          <w:sz w:val="30"/>
          <w:szCs w:val="30"/>
        </w:rPr>
        <w:t>专业</w:t>
      </w:r>
      <w:r>
        <w:rPr>
          <w:rFonts w:ascii="仿宋" w:eastAsia="仿宋" w:hAnsi="仿宋"/>
          <w:sz w:val="30"/>
          <w:szCs w:val="30"/>
        </w:rPr>
        <w:t>设置合理、水平优势突出、方向明确稳定、学科带头人造诣深厚、学科梯队结构合理的具有一定特色的重点</w:t>
      </w:r>
      <w:r>
        <w:rPr>
          <w:rFonts w:ascii="仿宋" w:eastAsia="仿宋" w:hAnsi="仿宋" w:hint="eastAsia"/>
          <w:sz w:val="30"/>
          <w:szCs w:val="30"/>
        </w:rPr>
        <w:t>专业</w:t>
      </w:r>
      <w:r>
        <w:rPr>
          <w:rFonts w:ascii="仿宋" w:eastAsia="仿宋" w:hAnsi="仿宋"/>
          <w:sz w:val="30"/>
          <w:szCs w:val="30"/>
        </w:rPr>
        <w:t>。到20</w:t>
      </w:r>
      <w:r>
        <w:rPr>
          <w:rFonts w:ascii="仿宋" w:eastAsia="仿宋" w:hAnsi="仿宋" w:hint="eastAsia"/>
          <w:sz w:val="30"/>
          <w:szCs w:val="30"/>
        </w:rPr>
        <w:t>2</w:t>
      </w:r>
      <w:r>
        <w:rPr>
          <w:rFonts w:ascii="仿宋" w:eastAsia="仿宋" w:hAnsi="仿宋"/>
          <w:sz w:val="30"/>
          <w:szCs w:val="30"/>
        </w:rPr>
        <w:t>0年，</w:t>
      </w:r>
      <w:r>
        <w:rPr>
          <w:rFonts w:ascii="仿宋" w:eastAsia="仿宋" w:hAnsi="仿宋" w:cs="宋体" w:hint="eastAsia"/>
          <w:kern w:val="0"/>
          <w:sz w:val="30"/>
          <w:szCs w:val="30"/>
        </w:rPr>
        <w:t>建设2-3个能够彰显学校专业建设水平的优势专业、品牌专业，</w:t>
      </w:r>
      <w:r>
        <w:rPr>
          <w:rFonts w:ascii="仿宋" w:eastAsia="仿宋" w:hAnsi="仿宋" w:cs="仿宋" w:hint="eastAsia"/>
          <w:sz w:val="30"/>
          <w:szCs w:val="30"/>
        </w:rPr>
        <w:t>每个专业打造1-2门能够彰显专业建设水平的优质课程。</w:t>
      </w:r>
      <w:r>
        <w:rPr>
          <w:rFonts w:ascii="仿宋" w:eastAsia="仿宋" w:hAnsi="仿宋" w:hint="eastAsia"/>
          <w:sz w:val="30"/>
          <w:szCs w:val="30"/>
        </w:rPr>
        <w:t>新建省级精品共享课程1-2门</w:t>
      </w:r>
      <w:r>
        <w:rPr>
          <w:rFonts w:ascii="仿宋" w:eastAsia="仿宋" w:hAnsi="仿宋"/>
          <w:sz w:val="30"/>
          <w:szCs w:val="30"/>
        </w:rPr>
        <w:t>。</w:t>
      </w:r>
    </w:p>
    <w:p>
      <w:pPr>
        <w:spacing w:line="550" w:lineRule="exact"/>
        <w:ind w:firstLine="588" w:firstLineChars="196"/>
        <w:rPr>
          <w:rFonts w:ascii="仿宋" w:eastAsia="仿宋" w:hAnsi="仿宋"/>
          <w:b/>
          <w:sz w:val="30"/>
          <w:szCs w:val="30"/>
        </w:rPr>
      </w:pPr>
      <w:r>
        <w:rPr>
          <w:rFonts w:ascii="仿宋" w:eastAsia="仿宋" w:hAnsi="仿宋"/>
          <w:b/>
          <w:sz w:val="30"/>
          <w:szCs w:val="30"/>
        </w:rPr>
        <w:t>（</w:t>
      </w:r>
      <w:r>
        <w:rPr>
          <w:rFonts w:ascii="仿宋" w:eastAsia="仿宋" w:hAnsi="仿宋" w:hint="eastAsia"/>
          <w:b/>
          <w:sz w:val="30"/>
          <w:szCs w:val="30"/>
        </w:rPr>
        <w:t>3</w:t>
      </w:r>
      <w:r>
        <w:rPr>
          <w:rFonts w:ascii="仿宋" w:eastAsia="仿宋" w:hAnsi="仿宋"/>
          <w:b/>
          <w:sz w:val="30"/>
          <w:szCs w:val="30"/>
        </w:rPr>
        <w:t>）</w:t>
      </w:r>
      <w:r>
        <w:rPr>
          <w:rFonts w:ascii="仿宋" w:eastAsia="仿宋" w:hAnsi="仿宋" w:hint="eastAsia"/>
          <w:b/>
          <w:sz w:val="30"/>
          <w:szCs w:val="30"/>
        </w:rPr>
        <w:t>队伍建设有突破</w:t>
      </w:r>
    </w:p>
    <w:p>
      <w:pPr>
        <w:adjustRightInd w:val="0"/>
        <w:snapToGrid w:val="0"/>
        <w:spacing w:line="550" w:lineRule="exact"/>
        <w:ind w:firstLine="600" w:firstLineChars="200"/>
        <w:rPr>
          <w:rFonts w:ascii="仿宋" w:eastAsia="仿宋" w:hAnsi="仿宋" w:cs="宋体"/>
          <w:bCs/>
          <w:sz w:val="30"/>
          <w:szCs w:val="30"/>
        </w:rPr>
      </w:pPr>
      <w:r>
        <w:rPr>
          <w:rFonts w:ascii="仿宋" w:eastAsia="仿宋" w:hAnsi="仿宋" w:hint="eastAsia"/>
          <w:sz w:val="30"/>
          <w:szCs w:val="30"/>
        </w:rPr>
        <w:t>制定并实施《河北科技学院</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师资队伍建设规划》，</w:t>
      </w:r>
      <w:r>
        <w:rPr>
          <w:rFonts w:ascii="仿宋" w:eastAsia="仿宋" w:hAnsi="仿宋"/>
          <w:sz w:val="30"/>
          <w:szCs w:val="30"/>
        </w:rPr>
        <w:t>着力加强人才和师资队伍建设，以</w:t>
      </w:r>
      <w:r>
        <w:rPr>
          <w:rFonts w:ascii="仿宋" w:eastAsia="仿宋" w:hAnsi="仿宋" w:hint="eastAsia"/>
          <w:sz w:val="30"/>
          <w:szCs w:val="30"/>
        </w:rPr>
        <w:t>专业</w:t>
      </w:r>
      <w:r>
        <w:rPr>
          <w:rFonts w:ascii="仿宋" w:eastAsia="仿宋" w:hAnsi="仿宋"/>
          <w:sz w:val="30"/>
          <w:szCs w:val="30"/>
        </w:rPr>
        <w:t>带头人和</w:t>
      </w:r>
      <w:r>
        <w:rPr>
          <w:rFonts w:ascii="仿宋" w:eastAsia="仿宋" w:hAnsi="仿宋" w:hint="eastAsia"/>
          <w:sz w:val="30"/>
          <w:szCs w:val="30"/>
        </w:rPr>
        <w:t>教学科研</w:t>
      </w:r>
      <w:r>
        <w:rPr>
          <w:rFonts w:ascii="仿宋" w:eastAsia="仿宋" w:hAnsi="仿宋"/>
          <w:sz w:val="30"/>
          <w:szCs w:val="30"/>
        </w:rPr>
        <w:t>团队建设为抓手，推进实施人才工程，采用内部培养、重点引进、团队引进和柔性引进等方式，造就和集聚一批学科</w:t>
      </w:r>
      <w:r>
        <w:rPr>
          <w:rFonts w:ascii="仿宋" w:eastAsia="仿宋" w:hAnsi="仿宋" w:hint="eastAsia"/>
          <w:sz w:val="30"/>
          <w:szCs w:val="30"/>
        </w:rPr>
        <w:t>专业</w:t>
      </w:r>
      <w:r>
        <w:rPr>
          <w:rFonts w:ascii="仿宋" w:eastAsia="仿宋" w:hAnsi="仿宋"/>
          <w:sz w:val="30"/>
          <w:szCs w:val="30"/>
        </w:rPr>
        <w:t>建设拔尖人才，形成结构合理的学科梯队和师资队伍。到20</w:t>
      </w:r>
      <w:r>
        <w:rPr>
          <w:rFonts w:ascii="仿宋" w:eastAsia="仿宋" w:hAnsi="仿宋" w:hint="eastAsia"/>
          <w:sz w:val="30"/>
          <w:szCs w:val="30"/>
        </w:rPr>
        <w:t>2</w:t>
      </w:r>
      <w:r>
        <w:rPr>
          <w:rFonts w:ascii="仿宋" w:eastAsia="仿宋" w:hAnsi="仿宋"/>
          <w:sz w:val="30"/>
          <w:szCs w:val="30"/>
        </w:rPr>
        <w:t>0年，高级职称人员达到45％</w:t>
      </w:r>
      <w:r>
        <w:rPr>
          <w:rFonts w:ascii="仿宋" w:eastAsia="仿宋" w:hAnsi="仿宋" w:hint="eastAsia"/>
          <w:sz w:val="30"/>
          <w:szCs w:val="30"/>
        </w:rPr>
        <w:t>以上，</w:t>
      </w:r>
      <w:r>
        <w:rPr>
          <w:rFonts w:ascii="仿宋" w:eastAsia="仿宋" w:hAnsi="仿宋" w:hint="eastAsia"/>
          <w:kern w:val="0"/>
          <w:sz w:val="30"/>
          <w:szCs w:val="30"/>
        </w:rPr>
        <w:t>具有博士、硕士学位教师的比例达65%以上，双师型教师达到20%以上</w:t>
      </w:r>
      <w:r>
        <w:rPr>
          <w:rFonts w:ascii="仿宋" w:eastAsia="仿宋" w:hAnsi="仿宋"/>
          <w:sz w:val="30"/>
          <w:szCs w:val="30"/>
        </w:rPr>
        <w:t>。进一步提高管理队伍整体素质，形成合理的年龄和学科专业结构、职称和学历学位结构，管理人员硕士</w:t>
      </w:r>
      <w:r>
        <w:rPr>
          <w:rFonts w:ascii="仿宋" w:eastAsia="仿宋" w:hAnsi="仿宋" w:hint="eastAsia"/>
          <w:kern w:val="0"/>
          <w:sz w:val="30"/>
          <w:szCs w:val="30"/>
        </w:rPr>
        <w:t>以上学历学位</w:t>
      </w:r>
      <w:r>
        <w:rPr>
          <w:rFonts w:ascii="仿宋" w:eastAsia="仿宋" w:hAnsi="仿宋"/>
          <w:sz w:val="30"/>
          <w:szCs w:val="30"/>
        </w:rPr>
        <w:t>比例达到</w:t>
      </w:r>
      <w:r>
        <w:rPr>
          <w:rFonts w:ascii="仿宋" w:eastAsia="仿宋" w:hAnsi="仿宋" w:hint="eastAsia"/>
          <w:sz w:val="30"/>
          <w:szCs w:val="30"/>
        </w:rPr>
        <w:t>50</w:t>
      </w:r>
      <w:r>
        <w:rPr>
          <w:rFonts w:ascii="仿宋" w:eastAsia="仿宋" w:hAnsi="仿宋"/>
          <w:sz w:val="30"/>
          <w:szCs w:val="30"/>
        </w:rPr>
        <w:t>%。</w:t>
      </w:r>
    </w:p>
    <w:p>
      <w:pPr>
        <w:spacing w:line="550" w:lineRule="exact"/>
        <w:ind w:firstLine="588" w:firstLineChars="196"/>
        <w:rPr>
          <w:rFonts w:ascii="仿宋" w:eastAsia="仿宋" w:hAnsi="仿宋"/>
          <w:b/>
          <w:sz w:val="30"/>
          <w:szCs w:val="30"/>
        </w:rPr>
      </w:pPr>
      <w:r>
        <w:rPr>
          <w:rFonts w:ascii="仿宋" w:eastAsia="仿宋" w:hAnsi="仿宋"/>
          <w:b/>
          <w:sz w:val="30"/>
          <w:szCs w:val="30"/>
        </w:rPr>
        <w:t>（</w:t>
      </w:r>
      <w:r>
        <w:rPr>
          <w:rFonts w:ascii="仿宋" w:eastAsia="仿宋" w:hAnsi="仿宋" w:hint="eastAsia"/>
          <w:b/>
          <w:sz w:val="30"/>
          <w:szCs w:val="30"/>
        </w:rPr>
        <w:t>4</w:t>
      </w:r>
      <w:r>
        <w:rPr>
          <w:rFonts w:ascii="仿宋" w:eastAsia="仿宋" w:hAnsi="仿宋"/>
          <w:b/>
          <w:sz w:val="30"/>
          <w:szCs w:val="30"/>
        </w:rPr>
        <w:t>）校园</w:t>
      </w:r>
      <w:r>
        <w:rPr>
          <w:rFonts w:ascii="仿宋" w:eastAsia="仿宋" w:hAnsi="仿宋" w:hint="eastAsia"/>
          <w:b/>
          <w:sz w:val="30"/>
          <w:szCs w:val="30"/>
        </w:rPr>
        <w:t>文化有成果</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制定并实施《河北科技学院</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校园建设规划》，建立健全</w:t>
      </w:r>
      <w:r>
        <w:rPr>
          <w:rFonts w:ascii="仿宋" w:eastAsia="仿宋" w:hAnsi="仿宋"/>
          <w:sz w:val="30"/>
          <w:szCs w:val="30"/>
        </w:rPr>
        <w:t>机制，创新载体，抓好精品文化设施和学</w:t>
      </w:r>
      <w:r>
        <w:rPr>
          <w:rFonts w:ascii="仿宋" w:eastAsia="仿宋" w:hAnsi="仿宋" w:hint="eastAsia"/>
          <w:sz w:val="30"/>
          <w:szCs w:val="30"/>
        </w:rPr>
        <w:t>校</w:t>
      </w:r>
      <w:r>
        <w:rPr>
          <w:rFonts w:ascii="仿宋" w:eastAsia="仿宋" w:hAnsi="仿宋"/>
          <w:sz w:val="30"/>
          <w:szCs w:val="30"/>
        </w:rPr>
        <w:t>文化建设，积极推进校园文化环境建设</w:t>
      </w:r>
      <w:r>
        <w:rPr>
          <w:rFonts w:ascii="仿宋" w:eastAsia="仿宋" w:hAnsi="仿宋" w:hint="eastAsia"/>
          <w:sz w:val="30"/>
          <w:szCs w:val="30"/>
        </w:rPr>
        <w:t>，</w:t>
      </w:r>
      <w:r>
        <w:rPr>
          <w:rFonts w:ascii="仿宋" w:eastAsia="仿宋" w:hAnsi="仿宋"/>
          <w:sz w:val="30"/>
          <w:szCs w:val="30"/>
        </w:rPr>
        <w:t>积淀和丰富校园文化的内涵，提升校园人文精神品格，促使严谨求是的治学精神、崇尚科学的创新精神和孜孜不倦的求知精神在校园内蔚然成风，进一步改善育人环境。到</w:t>
      </w:r>
      <w:r>
        <w:rPr>
          <w:rFonts w:ascii="仿宋" w:eastAsia="仿宋" w:hAnsi="仿宋" w:hint="eastAsia"/>
          <w:sz w:val="30"/>
          <w:szCs w:val="30"/>
        </w:rPr>
        <w:t>2020年</w:t>
      </w:r>
      <w:r>
        <w:rPr>
          <w:rFonts w:ascii="仿宋" w:eastAsia="仿宋" w:hAnsi="仿宋"/>
          <w:sz w:val="30"/>
          <w:szCs w:val="30"/>
        </w:rPr>
        <w:t>，以“</w:t>
      </w:r>
      <w:r>
        <w:rPr>
          <w:rFonts w:ascii="仿宋" w:eastAsia="仿宋" w:hAnsi="仿宋" w:hint="eastAsia"/>
          <w:sz w:val="30"/>
          <w:szCs w:val="30"/>
        </w:rPr>
        <w:t>正德、厚生、笃学、强能</w:t>
      </w:r>
      <w:r>
        <w:rPr>
          <w:rFonts w:ascii="仿宋" w:eastAsia="仿宋" w:hAnsi="仿宋"/>
          <w:sz w:val="30"/>
          <w:szCs w:val="30"/>
        </w:rPr>
        <w:t>”校训为核心的学</w:t>
      </w:r>
      <w:r>
        <w:rPr>
          <w:rFonts w:ascii="仿宋" w:eastAsia="仿宋" w:hAnsi="仿宋" w:hint="eastAsia"/>
          <w:sz w:val="30"/>
          <w:szCs w:val="30"/>
        </w:rPr>
        <w:t>校</w:t>
      </w:r>
      <w:r>
        <w:rPr>
          <w:rFonts w:ascii="仿宋" w:eastAsia="仿宋" w:hAnsi="仿宋"/>
          <w:sz w:val="30"/>
          <w:szCs w:val="30"/>
        </w:rPr>
        <w:t>文化精神进一步显现，凝聚力进一步增强</w:t>
      </w:r>
      <w:r>
        <w:rPr>
          <w:rFonts w:ascii="仿宋" w:eastAsia="仿宋" w:hAnsi="仿宋" w:hint="eastAsia"/>
          <w:sz w:val="30"/>
          <w:szCs w:val="30"/>
        </w:rPr>
        <w:t>。</w:t>
      </w:r>
    </w:p>
    <w:p>
      <w:pPr>
        <w:spacing w:line="550" w:lineRule="exact"/>
        <w:ind w:firstLine="588" w:firstLineChars="196"/>
        <w:rPr>
          <w:rFonts w:ascii="黑体" w:eastAsia="黑体" w:hAnsi="黑体"/>
          <w:sz w:val="30"/>
          <w:szCs w:val="30"/>
        </w:rPr>
      </w:pPr>
      <w:bookmarkStart w:id="35" w:name="_Toc2317_WPSOffice_Level1"/>
      <w:r>
        <w:rPr>
          <w:rFonts w:ascii="黑体" w:eastAsia="黑体" w:hAnsi="黑体"/>
          <w:sz w:val="30"/>
          <w:szCs w:val="30"/>
        </w:rPr>
        <w:t>三、主要</w:t>
      </w:r>
      <w:r>
        <w:rPr>
          <w:rFonts w:ascii="黑体" w:eastAsia="黑体" w:hAnsi="黑体" w:hint="eastAsia"/>
          <w:sz w:val="30"/>
          <w:szCs w:val="30"/>
        </w:rPr>
        <w:t>举措</w:t>
      </w:r>
      <w:bookmarkEnd w:id="35"/>
    </w:p>
    <w:p>
      <w:pPr>
        <w:spacing w:line="550" w:lineRule="exact"/>
        <w:ind w:firstLine="588" w:firstLineChars="196"/>
        <w:rPr>
          <w:rFonts w:ascii="楷体" w:eastAsia="楷体" w:hAnsi="楷体" w:cs="楷体"/>
          <w:b/>
          <w:bCs/>
          <w:sz w:val="30"/>
          <w:szCs w:val="30"/>
        </w:rPr>
      </w:pPr>
      <w:bookmarkStart w:id="36" w:name="_Toc5014_WPSOffice_Level2"/>
      <w:r>
        <w:rPr>
          <w:rFonts w:ascii="楷体" w:eastAsia="楷体" w:hAnsi="楷体" w:cs="楷体" w:hint="eastAsia"/>
          <w:b/>
          <w:bCs/>
          <w:sz w:val="30"/>
          <w:szCs w:val="30"/>
        </w:rPr>
        <w:t>（一）优化专业布局，加强重点专业建设工程</w:t>
      </w:r>
      <w:bookmarkEnd w:id="36"/>
    </w:p>
    <w:p>
      <w:pPr>
        <w:spacing w:line="550" w:lineRule="exact"/>
        <w:ind w:firstLine="588" w:firstLineChars="196"/>
        <w:rPr>
          <w:rFonts w:ascii="仿宋" w:eastAsia="仿宋" w:hAnsi="仿宋"/>
          <w:sz w:val="30"/>
          <w:szCs w:val="30"/>
        </w:rPr>
      </w:pPr>
      <w:r>
        <w:rPr>
          <w:rFonts w:ascii="仿宋" w:eastAsia="仿宋" w:hAnsi="仿宋" w:hint="eastAsia"/>
          <w:sz w:val="30"/>
          <w:szCs w:val="30"/>
        </w:rPr>
        <w:t>专业</w:t>
      </w:r>
      <w:r>
        <w:rPr>
          <w:rFonts w:ascii="仿宋" w:eastAsia="仿宋" w:hAnsi="仿宋"/>
          <w:sz w:val="30"/>
          <w:szCs w:val="30"/>
        </w:rPr>
        <w:t>建设水平是衡量一所</w:t>
      </w:r>
      <w:r>
        <w:rPr>
          <w:rFonts w:ascii="仿宋" w:eastAsia="仿宋" w:hAnsi="仿宋" w:hint="eastAsia"/>
          <w:sz w:val="30"/>
          <w:szCs w:val="30"/>
        </w:rPr>
        <w:t>本科院校</w:t>
      </w:r>
      <w:r>
        <w:rPr>
          <w:rFonts w:ascii="仿宋" w:eastAsia="仿宋" w:hAnsi="仿宋"/>
          <w:sz w:val="30"/>
          <w:szCs w:val="30"/>
        </w:rPr>
        <w:t>综合实力的重要标志。“十</w:t>
      </w:r>
      <w:r>
        <w:rPr>
          <w:rFonts w:ascii="仿宋" w:eastAsia="仿宋" w:hAnsi="仿宋" w:hint="eastAsia"/>
          <w:sz w:val="30"/>
          <w:szCs w:val="30"/>
        </w:rPr>
        <w:t>三</w:t>
      </w:r>
      <w:r>
        <w:rPr>
          <w:rFonts w:ascii="仿宋" w:eastAsia="仿宋" w:hAnsi="仿宋"/>
          <w:sz w:val="30"/>
          <w:szCs w:val="30"/>
        </w:rPr>
        <w:t>五”期间，要强化以</w:t>
      </w:r>
      <w:r>
        <w:rPr>
          <w:rFonts w:ascii="仿宋" w:eastAsia="仿宋" w:hAnsi="仿宋" w:hint="eastAsia"/>
          <w:sz w:val="30"/>
          <w:szCs w:val="30"/>
        </w:rPr>
        <w:t>专业</w:t>
      </w:r>
      <w:r>
        <w:rPr>
          <w:rFonts w:ascii="仿宋" w:eastAsia="仿宋" w:hAnsi="仿宋"/>
          <w:sz w:val="30"/>
          <w:szCs w:val="30"/>
        </w:rPr>
        <w:t>建设为龙头的理念，优化</w:t>
      </w:r>
      <w:r>
        <w:rPr>
          <w:rFonts w:ascii="仿宋" w:eastAsia="仿宋" w:hAnsi="仿宋" w:hint="eastAsia"/>
          <w:sz w:val="30"/>
          <w:szCs w:val="30"/>
        </w:rPr>
        <w:t>专业</w:t>
      </w:r>
      <w:r>
        <w:rPr>
          <w:rFonts w:ascii="仿宋" w:eastAsia="仿宋" w:hAnsi="仿宋"/>
          <w:sz w:val="30"/>
          <w:szCs w:val="30"/>
        </w:rPr>
        <w:t>布局，完善</w:t>
      </w:r>
      <w:r>
        <w:rPr>
          <w:rFonts w:ascii="仿宋" w:eastAsia="仿宋" w:hAnsi="仿宋" w:hint="eastAsia"/>
          <w:sz w:val="30"/>
          <w:szCs w:val="30"/>
        </w:rPr>
        <w:t>专业</w:t>
      </w:r>
      <w:r>
        <w:rPr>
          <w:rFonts w:ascii="仿宋" w:eastAsia="仿宋" w:hAnsi="仿宋"/>
          <w:sz w:val="30"/>
          <w:szCs w:val="30"/>
        </w:rPr>
        <w:t>体系，建立健全</w:t>
      </w:r>
      <w:r>
        <w:rPr>
          <w:rFonts w:ascii="仿宋" w:eastAsia="仿宋" w:hAnsi="仿宋" w:hint="eastAsia"/>
          <w:sz w:val="30"/>
          <w:szCs w:val="30"/>
        </w:rPr>
        <w:t>专业</w:t>
      </w:r>
      <w:r>
        <w:rPr>
          <w:rFonts w:ascii="仿宋" w:eastAsia="仿宋" w:hAnsi="仿宋"/>
          <w:sz w:val="30"/>
          <w:szCs w:val="30"/>
        </w:rPr>
        <w:t>管理运行机制</w:t>
      </w:r>
      <w:r>
        <w:rPr>
          <w:rFonts w:ascii="仿宋" w:eastAsia="仿宋" w:hAnsi="仿宋" w:hint="eastAsia"/>
          <w:sz w:val="30"/>
          <w:szCs w:val="30"/>
        </w:rPr>
        <w:t>。</w:t>
      </w:r>
    </w:p>
    <w:p>
      <w:pPr>
        <w:spacing w:line="550" w:lineRule="exact"/>
        <w:ind w:firstLine="588" w:firstLineChars="196"/>
        <w:rPr>
          <w:rFonts w:ascii="仿宋" w:eastAsia="仿宋" w:hAnsi="仿宋" w:cs="仿宋"/>
          <w:sz w:val="30"/>
          <w:szCs w:val="30"/>
        </w:rPr>
      </w:pPr>
      <w:r>
        <w:rPr>
          <w:rFonts w:ascii="仿宋" w:eastAsia="仿宋" w:hAnsi="仿宋" w:hint="eastAsia"/>
          <w:b/>
          <w:sz w:val="30"/>
          <w:szCs w:val="30"/>
        </w:rPr>
        <w:t>1.</w:t>
      </w:r>
      <w:r>
        <w:rPr>
          <w:rFonts w:ascii="仿宋" w:eastAsia="仿宋" w:hAnsi="仿宋"/>
          <w:b/>
          <w:sz w:val="30"/>
          <w:szCs w:val="30"/>
        </w:rPr>
        <w:t>优化</w:t>
      </w:r>
      <w:r>
        <w:rPr>
          <w:rFonts w:ascii="仿宋" w:eastAsia="仿宋" w:hAnsi="仿宋" w:hint="eastAsia"/>
          <w:b/>
          <w:sz w:val="30"/>
          <w:szCs w:val="30"/>
        </w:rPr>
        <w:t>专业</w:t>
      </w:r>
      <w:r>
        <w:rPr>
          <w:rFonts w:ascii="仿宋" w:eastAsia="仿宋" w:hAnsi="仿宋"/>
          <w:b/>
          <w:sz w:val="30"/>
          <w:szCs w:val="30"/>
        </w:rPr>
        <w:t>布局。</w:t>
      </w:r>
      <w:r>
        <w:rPr>
          <w:rFonts w:ascii="仿宋" w:eastAsia="仿宋" w:hAnsi="仿宋" w:cs="仿宋" w:hint="eastAsia"/>
          <w:sz w:val="30"/>
          <w:szCs w:val="30"/>
        </w:rPr>
        <w:t>制订专业建设发展规划，加强专业建设的顶层设计，合理确定本科专业数量，坚持社会需求导向，积极探索专业预警、动态调整机制，持续优化调整专业布局。集中精力优化5个专业群结构，强化内涵建设，提升专业群的人才培养质量，积极关注新产业、新业态的发展，聚焦现有专业群服务产业转型升级，适度衍生服务新业态产业的新专业，增强服务区域经济社会发展的能力。</w:t>
      </w:r>
    </w:p>
    <w:p>
      <w:pPr>
        <w:spacing w:line="550" w:lineRule="exact"/>
        <w:ind w:firstLine="588" w:firstLineChars="196"/>
        <w:rPr>
          <w:rFonts w:ascii="仿宋" w:eastAsia="仿宋" w:hAnsi="仿宋" w:cs="仿宋"/>
          <w:sz w:val="30"/>
          <w:szCs w:val="30"/>
        </w:rPr>
      </w:pPr>
      <w:r>
        <w:rPr>
          <w:rFonts w:ascii="仿宋" w:eastAsia="仿宋" w:hAnsi="仿宋"/>
          <w:b/>
          <w:sz w:val="30"/>
          <w:szCs w:val="30"/>
        </w:rPr>
        <w:t>2</w:t>
      </w:r>
      <w:r>
        <w:rPr>
          <w:rFonts w:ascii="仿宋" w:eastAsia="仿宋" w:hAnsi="仿宋" w:hint="eastAsia"/>
          <w:b/>
          <w:sz w:val="30"/>
          <w:szCs w:val="30"/>
        </w:rPr>
        <w:t>.</w:t>
      </w:r>
      <w:r>
        <w:rPr>
          <w:rFonts w:ascii="仿宋" w:eastAsia="仿宋" w:hAnsi="仿宋"/>
          <w:b/>
          <w:sz w:val="30"/>
          <w:szCs w:val="30"/>
        </w:rPr>
        <w:t>加强重点</w:t>
      </w:r>
      <w:r>
        <w:rPr>
          <w:rFonts w:ascii="仿宋" w:eastAsia="仿宋" w:hAnsi="仿宋" w:hint="eastAsia"/>
          <w:b/>
          <w:sz w:val="30"/>
          <w:szCs w:val="30"/>
        </w:rPr>
        <w:t>专业</w:t>
      </w:r>
      <w:r>
        <w:rPr>
          <w:rFonts w:ascii="仿宋" w:eastAsia="仿宋" w:hAnsi="仿宋"/>
          <w:b/>
          <w:sz w:val="30"/>
          <w:szCs w:val="30"/>
        </w:rPr>
        <w:t>建设。</w:t>
      </w:r>
      <w:r>
        <w:rPr>
          <w:rFonts w:ascii="仿宋" w:eastAsia="仿宋" w:hAnsi="仿宋"/>
          <w:sz w:val="30"/>
          <w:szCs w:val="30"/>
        </w:rPr>
        <w:t>根据</w:t>
      </w:r>
      <w:r>
        <w:rPr>
          <w:rFonts w:ascii="仿宋" w:eastAsia="仿宋" w:hAnsi="仿宋" w:hint="eastAsia"/>
          <w:sz w:val="30"/>
          <w:szCs w:val="30"/>
        </w:rPr>
        <w:t>学校</w:t>
      </w:r>
      <w:r>
        <w:rPr>
          <w:rFonts w:ascii="仿宋" w:eastAsia="仿宋" w:hAnsi="仿宋"/>
          <w:sz w:val="30"/>
          <w:szCs w:val="30"/>
        </w:rPr>
        <w:t>现有</w:t>
      </w:r>
      <w:r>
        <w:rPr>
          <w:rFonts w:ascii="仿宋" w:eastAsia="仿宋" w:hAnsi="仿宋" w:hint="eastAsia"/>
          <w:sz w:val="30"/>
          <w:szCs w:val="30"/>
        </w:rPr>
        <w:t>专业</w:t>
      </w:r>
      <w:r>
        <w:rPr>
          <w:rFonts w:ascii="仿宋" w:eastAsia="仿宋" w:hAnsi="仿宋"/>
          <w:sz w:val="30"/>
          <w:szCs w:val="30"/>
        </w:rPr>
        <w:t>基础与</w:t>
      </w:r>
      <w:r>
        <w:rPr>
          <w:rFonts w:ascii="仿宋" w:eastAsia="仿宋" w:hAnsi="仿宋" w:hint="eastAsia"/>
          <w:sz w:val="30"/>
          <w:szCs w:val="30"/>
        </w:rPr>
        <w:t>专业</w:t>
      </w:r>
      <w:r>
        <w:rPr>
          <w:rFonts w:ascii="仿宋" w:eastAsia="仿宋" w:hAnsi="仿宋"/>
          <w:sz w:val="30"/>
          <w:szCs w:val="30"/>
        </w:rPr>
        <w:t>优势，着力做强</w:t>
      </w:r>
      <w:r>
        <w:rPr>
          <w:rFonts w:ascii="仿宋" w:eastAsia="仿宋" w:hAnsi="仿宋" w:hint="eastAsia"/>
          <w:sz w:val="30"/>
          <w:szCs w:val="30"/>
        </w:rPr>
        <w:t>机械设计制造及其自动化</w:t>
      </w:r>
      <w:r>
        <w:rPr>
          <w:rFonts w:ascii="仿宋" w:eastAsia="仿宋" w:hAnsi="仿宋"/>
          <w:sz w:val="30"/>
          <w:szCs w:val="30"/>
        </w:rPr>
        <w:t>、</w:t>
      </w:r>
      <w:r>
        <w:rPr>
          <w:rFonts w:ascii="仿宋" w:eastAsia="仿宋" w:hAnsi="仿宋" w:hint="eastAsia"/>
          <w:sz w:val="30"/>
          <w:szCs w:val="30"/>
        </w:rPr>
        <w:t>车辆工程、会计学三个专业</w:t>
      </w:r>
      <w:r>
        <w:rPr>
          <w:rFonts w:ascii="仿宋" w:eastAsia="仿宋" w:hAnsi="仿宋"/>
          <w:sz w:val="30"/>
          <w:szCs w:val="30"/>
        </w:rPr>
        <w:t>，深化</w:t>
      </w:r>
      <w:r>
        <w:rPr>
          <w:rFonts w:ascii="仿宋" w:eastAsia="仿宋" w:hAnsi="仿宋" w:hint="eastAsia"/>
          <w:sz w:val="30"/>
          <w:szCs w:val="30"/>
        </w:rPr>
        <w:t>专业</w:t>
      </w:r>
      <w:r>
        <w:rPr>
          <w:rFonts w:ascii="仿宋" w:eastAsia="仿宋" w:hAnsi="仿宋"/>
          <w:sz w:val="30"/>
          <w:szCs w:val="30"/>
        </w:rPr>
        <w:t>内涵</w:t>
      </w:r>
      <w:r>
        <w:rPr>
          <w:rFonts w:ascii="仿宋" w:eastAsia="仿宋" w:hAnsi="仿宋" w:hint="eastAsia"/>
          <w:sz w:val="30"/>
          <w:szCs w:val="30"/>
        </w:rPr>
        <w:t>建设</w:t>
      </w:r>
      <w:r>
        <w:rPr>
          <w:rFonts w:ascii="仿宋" w:eastAsia="仿宋" w:hAnsi="仿宋"/>
          <w:sz w:val="30"/>
          <w:szCs w:val="30"/>
        </w:rPr>
        <w:t>，提升</w:t>
      </w:r>
      <w:r>
        <w:rPr>
          <w:rFonts w:ascii="仿宋" w:eastAsia="仿宋" w:hAnsi="仿宋" w:hint="eastAsia"/>
          <w:sz w:val="30"/>
          <w:szCs w:val="30"/>
        </w:rPr>
        <w:t>专业</w:t>
      </w:r>
      <w:r>
        <w:rPr>
          <w:rFonts w:ascii="仿宋" w:eastAsia="仿宋" w:hAnsi="仿宋"/>
          <w:sz w:val="30"/>
          <w:szCs w:val="30"/>
        </w:rPr>
        <w:t>实力，增强</w:t>
      </w:r>
      <w:r>
        <w:rPr>
          <w:rFonts w:ascii="仿宋" w:eastAsia="仿宋" w:hAnsi="仿宋" w:hint="eastAsia"/>
          <w:sz w:val="30"/>
          <w:szCs w:val="30"/>
        </w:rPr>
        <w:t>专业</w:t>
      </w:r>
      <w:r>
        <w:rPr>
          <w:rFonts w:ascii="仿宋" w:eastAsia="仿宋" w:hAnsi="仿宋"/>
          <w:sz w:val="30"/>
          <w:szCs w:val="30"/>
        </w:rPr>
        <w:t>的</w:t>
      </w:r>
      <w:r>
        <w:rPr>
          <w:rFonts w:ascii="仿宋" w:eastAsia="仿宋" w:hAnsi="仿宋" w:hint="eastAsia"/>
          <w:sz w:val="30"/>
          <w:szCs w:val="30"/>
        </w:rPr>
        <w:t>示范引领和辐射作用，</w:t>
      </w:r>
      <w:r>
        <w:rPr>
          <w:rFonts w:ascii="仿宋" w:eastAsia="仿宋" w:hAnsi="仿宋"/>
          <w:sz w:val="30"/>
          <w:szCs w:val="30"/>
        </w:rPr>
        <w:t>形成</w:t>
      </w:r>
      <w:r>
        <w:rPr>
          <w:rFonts w:ascii="仿宋" w:eastAsia="仿宋" w:hAnsi="仿宋" w:cs="宋体" w:hint="eastAsia"/>
          <w:sz w:val="30"/>
          <w:szCs w:val="30"/>
        </w:rPr>
        <w:t>对接现代服务业和汽车制造业、</w:t>
      </w:r>
      <w:r>
        <w:rPr>
          <w:rFonts w:ascii="仿宋" w:eastAsia="仿宋" w:hAnsi="仿宋"/>
          <w:sz w:val="30"/>
          <w:szCs w:val="30"/>
        </w:rPr>
        <w:t>优势突出、相关</w:t>
      </w:r>
      <w:r>
        <w:rPr>
          <w:rFonts w:ascii="仿宋" w:eastAsia="仿宋" w:hAnsi="仿宋" w:hint="eastAsia"/>
          <w:sz w:val="30"/>
          <w:szCs w:val="30"/>
        </w:rPr>
        <w:t>专业</w:t>
      </w:r>
      <w:r>
        <w:rPr>
          <w:rFonts w:ascii="仿宋" w:eastAsia="仿宋" w:hAnsi="仿宋"/>
          <w:sz w:val="30"/>
          <w:szCs w:val="30"/>
        </w:rPr>
        <w:t>力量较强、</w:t>
      </w:r>
      <w:r>
        <w:rPr>
          <w:rFonts w:ascii="仿宋" w:eastAsia="仿宋" w:hAnsi="仿宋" w:hint="eastAsia"/>
          <w:sz w:val="30"/>
          <w:szCs w:val="30"/>
        </w:rPr>
        <w:t>专业</w:t>
      </w:r>
      <w:r>
        <w:rPr>
          <w:rFonts w:ascii="仿宋" w:eastAsia="仿宋" w:hAnsi="仿宋"/>
          <w:sz w:val="30"/>
          <w:szCs w:val="30"/>
        </w:rPr>
        <w:t>带头人造诣深、梯队结构合理的</w:t>
      </w:r>
      <w:r>
        <w:rPr>
          <w:rFonts w:ascii="仿宋" w:eastAsia="仿宋" w:hAnsi="仿宋" w:cs="宋体" w:hint="eastAsia"/>
          <w:sz w:val="30"/>
          <w:szCs w:val="30"/>
        </w:rPr>
        <w:t>管理科学与工程类和机械工程类专业群。</w:t>
      </w:r>
      <w:r>
        <w:rPr>
          <w:rFonts w:ascii="仿宋" w:eastAsia="仿宋" w:hAnsi="仿宋" w:cs="仿宋" w:hint="eastAsia"/>
          <w:sz w:val="30"/>
          <w:szCs w:val="30"/>
        </w:rPr>
        <w:t>优先建设省级重点立项建设的汽车服务工程专业，争取打造2-3个优质专业，并力争增为省级重点立项建设专业。</w:t>
      </w:r>
    </w:p>
    <w:p>
      <w:pPr>
        <w:spacing w:line="550" w:lineRule="exact"/>
        <w:ind w:firstLine="588" w:firstLineChars="196"/>
        <w:rPr>
          <w:rFonts w:ascii="仿宋" w:eastAsia="仿宋" w:hAnsi="仿宋" w:cs="仿宋"/>
          <w:sz w:val="30"/>
          <w:szCs w:val="30"/>
        </w:rPr>
      </w:pPr>
      <w:r>
        <w:rPr>
          <w:rFonts w:ascii="仿宋" w:eastAsia="仿宋" w:hAnsi="仿宋" w:hint="eastAsia"/>
          <w:b/>
          <w:sz w:val="30"/>
          <w:szCs w:val="30"/>
        </w:rPr>
        <w:t>3.加强专业与行业、企业对接工作。</w:t>
      </w:r>
      <w:r>
        <w:rPr>
          <w:rFonts w:ascii="仿宋" w:eastAsia="仿宋" w:hAnsi="仿宋" w:cs="仿宋" w:hint="eastAsia"/>
          <w:sz w:val="30"/>
          <w:szCs w:val="30"/>
        </w:rPr>
        <w:t>本着</w:t>
      </w:r>
      <w:r>
        <w:rPr>
          <w:rFonts w:ascii="仿宋" w:eastAsia="仿宋" w:hAnsi="仿宋" w:cs="仿宋" w:hint="eastAsia"/>
          <w:sz w:val="30"/>
          <w:szCs w:val="30"/>
        </w:rPr>
        <w:t>“</w:t>
      </w:r>
      <w:r>
        <w:rPr>
          <w:rFonts w:ascii="仿宋" w:eastAsia="仿宋" w:hAnsi="仿宋" w:cs="仿宋" w:hint="eastAsia"/>
          <w:sz w:val="30"/>
          <w:szCs w:val="30"/>
        </w:rPr>
        <w:t>合作共赢</w:t>
      </w:r>
      <w:r>
        <w:rPr>
          <w:rFonts w:ascii="仿宋" w:eastAsia="仿宋" w:hAnsi="仿宋" w:cs="仿宋" w:hint="eastAsia"/>
          <w:sz w:val="30"/>
          <w:szCs w:val="30"/>
        </w:rPr>
        <w:t>”</w:t>
      </w:r>
      <w:r>
        <w:rPr>
          <w:rFonts w:ascii="仿宋" w:eastAsia="仿宋" w:hAnsi="仿宋" w:cs="仿宋" w:hint="eastAsia"/>
          <w:sz w:val="30"/>
          <w:szCs w:val="30"/>
        </w:rPr>
        <w:t>的原则与行业内有影响的企业建立合作关系，建立全面、深入、稳定的合作机制，建立行业、合作企业、用人单位参加的专业建设委员会或教学指导委员会制度，让行业、企业专家参与人才培养的全过程。</w:t>
      </w:r>
    </w:p>
    <w:p>
      <w:pPr>
        <w:spacing w:line="550" w:lineRule="exact"/>
        <w:ind w:firstLine="588" w:firstLineChars="196"/>
        <w:rPr>
          <w:rFonts w:ascii="楷体" w:eastAsia="楷体" w:hAnsi="楷体" w:cs="楷体"/>
          <w:b/>
          <w:bCs/>
          <w:sz w:val="30"/>
          <w:szCs w:val="30"/>
        </w:rPr>
      </w:pPr>
      <w:bookmarkStart w:id="37" w:name="_Toc8336_WPSOffice_Level2"/>
      <w:r>
        <w:rPr>
          <w:rFonts w:ascii="楷体" w:eastAsia="楷体" w:hAnsi="楷体" w:cs="楷体" w:hint="eastAsia"/>
          <w:b/>
          <w:bCs/>
          <w:sz w:val="30"/>
          <w:szCs w:val="30"/>
        </w:rPr>
        <w:t>（二）实施人才强校战略，加强人才和师资队伍建设工程</w:t>
      </w:r>
      <w:bookmarkEnd w:id="37"/>
    </w:p>
    <w:p>
      <w:pPr>
        <w:spacing w:line="550" w:lineRule="exact"/>
        <w:ind w:firstLine="588" w:firstLineChars="196"/>
        <w:rPr>
          <w:rFonts w:ascii="仿宋" w:eastAsia="仿宋" w:hAnsi="仿宋"/>
          <w:sz w:val="30"/>
          <w:szCs w:val="30"/>
        </w:rPr>
      </w:pPr>
      <w:r>
        <w:rPr>
          <w:rFonts w:ascii="仿宋" w:eastAsia="仿宋" w:hAnsi="仿宋"/>
          <w:sz w:val="30"/>
          <w:szCs w:val="30"/>
        </w:rPr>
        <w:t>人才是事业之本，强校之基。加强人才队伍建设是提高教学质量、提升</w:t>
      </w:r>
      <w:r>
        <w:rPr>
          <w:rFonts w:ascii="仿宋" w:eastAsia="仿宋" w:hAnsi="仿宋" w:hint="eastAsia"/>
          <w:sz w:val="30"/>
          <w:szCs w:val="30"/>
        </w:rPr>
        <w:t>专业</w:t>
      </w:r>
      <w:r>
        <w:rPr>
          <w:rFonts w:ascii="仿宋" w:eastAsia="仿宋" w:hAnsi="仿宋"/>
          <w:sz w:val="30"/>
          <w:szCs w:val="30"/>
        </w:rPr>
        <w:t>建设水平的根本大计，是提升学</w:t>
      </w:r>
      <w:r>
        <w:rPr>
          <w:rFonts w:ascii="仿宋" w:eastAsia="仿宋" w:hAnsi="仿宋" w:hint="eastAsia"/>
          <w:sz w:val="30"/>
          <w:szCs w:val="30"/>
        </w:rPr>
        <w:t>校</w:t>
      </w:r>
      <w:r>
        <w:rPr>
          <w:rFonts w:ascii="仿宋" w:eastAsia="仿宋" w:hAnsi="仿宋"/>
          <w:sz w:val="30"/>
          <w:szCs w:val="30"/>
        </w:rPr>
        <w:t>核心竞争力的内在要求。“十</w:t>
      </w:r>
      <w:r>
        <w:rPr>
          <w:rFonts w:ascii="仿宋" w:eastAsia="仿宋" w:hAnsi="仿宋" w:hint="eastAsia"/>
          <w:sz w:val="30"/>
          <w:szCs w:val="30"/>
        </w:rPr>
        <w:t>三</w:t>
      </w:r>
      <w:r>
        <w:rPr>
          <w:rFonts w:ascii="仿宋" w:eastAsia="仿宋" w:hAnsi="仿宋"/>
          <w:sz w:val="30"/>
          <w:szCs w:val="30"/>
        </w:rPr>
        <w:t>五”期间，要根据专业建设的目标，科学制订人才队伍建设规划、人才培养和引进计划，通过对人才资源的有效组合，着力组建一支素质优良、结构优化、富有活力的高水平教师队伍和管理干部队伍。</w:t>
      </w:r>
    </w:p>
    <w:p>
      <w:pPr>
        <w:spacing w:line="550" w:lineRule="exact"/>
        <w:ind w:firstLine="588" w:firstLineChars="196"/>
        <w:rPr>
          <w:rFonts w:ascii="仿宋" w:eastAsia="仿宋" w:hAnsi="仿宋"/>
          <w:sz w:val="30"/>
          <w:szCs w:val="30"/>
        </w:rPr>
      </w:pPr>
      <w:r>
        <w:rPr>
          <w:rFonts w:ascii="仿宋" w:eastAsia="仿宋" w:hAnsi="仿宋"/>
          <w:b/>
          <w:sz w:val="30"/>
          <w:szCs w:val="30"/>
        </w:rPr>
        <w:t>1</w:t>
      </w:r>
      <w:r>
        <w:rPr>
          <w:rFonts w:ascii="仿宋" w:eastAsia="仿宋" w:hAnsi="仿宋" w:hint="eastAsia"/>
          <w:b/>
          <w:sz w:val="30"/>
          <w:szCs w:val="30"/>
        </w:rPr>
        <w:t>.</w:t>
      </w:r>
      <w:r>
        <w:rPr>
          <w:rFonts w:ascii="仿宋" w:eastAsia="仿宋" w:hAnsi="仿宋"/>
          <w:b/>
          <w:sz w:val="30"/>
          <w:szCs w:val="30"/>
        </w:rPr>
        <w:t>创新人才工作思路。</w:t>
      </w:r>
      <w:r>
        <w:rPr>
          <w:rFonts w:ascii="仿宋" w:eastAsia="仿宋" w:hAnsi="仿宋"/>
          <w:sz w:val="30"/>
          <w:szCs w:val="30"/>
        </w:rPr>
        <w:t>统筹规划，以促进学</w:t>
      </w:r>
      <w:r>
        <w:rPr>
          <w:rFonts w:ascii="仿宋" w:eastAsia="仿宋" w:hAnsi="仿宋" w:hint="eastAsia"/>
          <w:sz w:val="30"/>
          <w:szCs w:val="30"/>
        </w:rPr>
        <w:t>校</w:t>
      </w:r>
      <w:r>
        <w:rPr>
          <w:rFonts w:ascii="仿宋" w:eastAsia="仿宋" w:hAnsi="仿宋"/>
          <w:sz w:val="30"/>
          <w:szCs w:val="30"/>
        </w:rPr>
        <w:t>发展作为根本出发点，以实施人才工程为主线，以学科带头人和</w:t>
      </w:r>
      <w:r>
        <w:rPr>
          <w:rFonts w:ascii="仿宋" w:eastAsia="仿宋" w:hAnsi="仿宋" w:hint="eastAsia"/>
          <w:sz w:val="30"/>
          <w:szCs w:val="30"/>
        </w:rPr>
        <w:t>学科</w:t>
      </w:r>
      <w:r>
        <w:rPr>
          <w:rFonts w:ascii="仿宋" w:eastAsia="仿宋" w:hAnsi="仿宋"/>
          <w:sz w:val="30"/>
          <w:szCs w:val="30"/>
        </w:rPr>
        <w:t>团队为抓手，切实做好</w:t>
      </w:r>
      <w:r>
        <w:rPr>
          <w:rFonts w:ascii="仿宋" w:eastAsia="仿宋" w:hAnsi="仿宋" w:hint="eastAsia"/>
          <w:sz w:val="30"/>
          <w:szCs w:val="30"/>
        </w:rPr>
        <w:t>引进、</w:t>
      </w:r>
      <w:r>
        <w:rPr>
          <w:rFonts w:ascii="仿宋" w:eastAsia="仿宋" w:hAnsi="仿宋"/>
          <w:sz w:val="30"/>
          <w:szCs w:val="30"/>
        </w:rPr>
        <w:t>培养、用好人才三个环节的工作。</w:t>
      </w:r>
    </w:p>
    <w:p>
      <w:pPr>
        <w:spacing w:line="550" w:lineRule="exact"/>
        <w:ind w:firstLine="588" w:firstLineChars="196"/>
        <w:rPr>
          <w:rFonts w:ascii="仿宋" w:eastAsia="仿宋" w:hAnsi="仿宋"/>
          <w:sz w:val="30"/>
          <w:szCs w:val="30"/>
        </w:rPr>
      </w:pPr>
      <w:r>
        <w:rPr>
          <w:rFonts w:ascii="仿宋" w:eastAsia="仿宋" w:hAnsi="仿宋"/>
          <w:b/>
          <w:sz w:val="30"/>
          <w:szCs w:val="30"/>
        </w:rPr>
        <w:t>2</w:t>
      </w:r>
      <w:r>
        <w:rPr>
          <w:rFonts w:ascii="仿宋" w:eastAsia="仿宋" w:hAnsi="仿宋" w:hint="eastAsia"/>
          <w:b/>
          <w:sz w:val="30"/>
          <w:szCs w:val="30"/>
        </w:rPr>
        <w:t>.</w:t>
      </w:r>
      <w:r>
        <w:rPr>
          <w:rFonts w:ascii="仿宋" w:eastAsia="仿宋" w:hAnsi="仿宋"/>
          <w:b/>
          <w:sz w:val="30"/>
          <w:szCs w:val="30"/>
        </w:rPr>
        <w:t>建立健全人才激励机制。</w:t>
      </w:r>
      <w:r>
        <w:rPr>
          <w:rFonts w:ascii="仿宋" w:eastAsia="仿宋" w:hAnsi="仿宋"/>
          <w:sz w:val="30"/>
          <w:szCs w:val="30"/>
        </w:rPr>
        <w:t>进一步深化学</w:t>
      </w:r>
      <w:r>
        <w:rPr>
          <w:rFonts w:ascii="仿宋" w:eastAsia="仿宋" w:hAnsi="仿宋" w:hint="eastAsia"/>
          <w:sz w:val="30"/>
          <w:szCs w:val="30"/>
        </w:rPr>
        <w:t>校</w:t>
      </w:r>
      <w:r>
        <w:rPr>
          <w:rFonts w:ascii="仿宋" w:eastAsia="仿宋" w:hAnsi="仿宋"/>
          <w:sz w:val="30"/>
          <w:szCs w:val="30"/>
        </w:rPr>
        <w:t>人事制度改革，完善以业绩为导向，教学、科研和育人三个维度科学合理的教师考核评价机制，完善收入分配制度和奖励制度。充分开发和合理配置人才资源，积极为各类人才施展才华提供舞台</w:t>
      </w:r>
      <w:r>
        <w:rPr>
          <w:rFonts w:ascii="仿宋" w:eastAsia="仿宋" w:hAnsi="仿宋" w:hint="eastAsia"/>
          <w:sz w:val="30"/>
          <w:szCs w:val="30"/>
        </w:rPr>
        <w:t>，</w:t>
      </w:r>
      <w:r>
        <w:rPr>
          <w:rFonts w:ascii="仿宋" w:eastAsia="仿宋" w:hAnsi="仿宋"/>
          <w:sz w:val="30"/>
          <w:szCs w:val="30"/>
        </w:rPr>
        <w:t>大力培养具有国际学术视野的中青年学科带头人。</w:t>
      </w:r>
    </w:p>
    <w:p>
      <w:pPr>
        <w:spacing w:line="550" w:lineRule="exact"/>
        <w:ind w:firstLine="588" w:firstLineChars="196"/>
        <w:rPr>
          <w:rFonts w:ascii="仿宋" w:eastAsia="仿宋" w:hAnsi="仿宋"/>
          <w:sz w:val="30"/>
          <w:szCs w:val="30"/>
        </w:rPr>
        <w:sectPr>
          <w:headerReference w:type="even" r:id="rId11"/>
          <w:headerReference w:type="default" r:id="rId12"/>
          <w:footerReference w:type="even" r:id="rId13"/>
          <w:footerReference w:type="default" r:id="rId14"/>
          <w:pgSz w:w="11906" w:h="16838"/>
          <w:pgMar w:top="1440" w:right="1463" w:bottom="1440" w:left="1463" w:header="851" w:footer="992" w:gutter="0"/>
          <w:pgNumType w:start="1"/>
          <w:cols w:space="708"/>
          <w:docGrid w:type="linesAndChars" w:linePitch="312" w:charSpace="0"/>
        </w:sectPr>
      </w:pPr>
      <w:r>
        <w:rPr>
          <w:rFonts w:ascii="仿宋" w:eastAsia="仿宋" w:hAnsi="仿宋"/>
          <w:b/>
          <w:sz w:val="30"/>
          <w:szCs w:val="30"/>
        </w:rPr>
        <w:t>3</w:t>
      </w:r>
      <w:r>
        <w:rPr>
          <w:rFonts w:ascii="仿宋" w:eastAsia="仿宋" w:hAnsi="仿宋" w:hint="eastAsia"/>
          <w:b/>
          <w:sz w:val="30"/>
          <w:szCs w:val="30"/>
        </w:rPr>
        <w:t>.</w:t>
      </w:r>
      <w:r>
        <w:rPr>
          <w:rFonts w:ascii="仿宋" w:eastAsia="仿宋" w:hAnsi="仿宋"/>
          <w:b/>
          <w:sz w:val="30"/>
          <w:szCs w:val="30"/>
        </w:rPr>
        <w:t>建设高水平</w:t>
      </w:r>
      <w:r>
        <w:rPr>
          <w:rFonts w:ascii="仿宋" w:eastAsia="仿宋" w:hAnsi="仿宋" w:hint="eastAsia"/>
          <w:b/>
          <w:sz w:val="30"/>
          <w:szCs w:val="30"/>
        </w:rPr>
        <w:t>教学科研</w:t>
      </w:r>
      <w:r>
        <w:rPr>
          <w:rFonts w:ascii="仿宋" w:eastAsia="仿宋" w:hAnsi="仿宋"/>
          <w:b/>
          <w:sz w:val="30"/>
          <w:szCs w:val="30"/>
        </w:rPr>
        <w:t>团队。</w:t>
      </w:r>
      <w:r>
        <w:rPr>
          <w:rFonts w:ascii="仿宋" w:eastAsia="仿宋" w:hAnsi="仿宋"/>
          <w:sz w:val="30"/>
          <w:szCs w:val="30"/>
        </w:rPr>
        <w:t>着力加强</w:t>
      </w:r>
      <w:r>
        <w:rPr>
          <w:rFonts w:ascii="仿宋" w:eastAsia="仿宋" w:hAnsi="仿宋" w:hint="eastAsia"/>
          <w:sz w:val="30"/>
          <w:szCs w:val="30"/>
        </w:rPr>
        <w:t>培养</w:t>
      </w:r>
      <w:r>
        <w:rPr>
          <w:rFonts w:ascii="仿宋" w:eastAsia="仿宋" w:hAnsi="仿宋"/>
          <w:sz w:val="30"/>
          <w:szCs w:val="30"/>
        </w:rPr>
        <w:t>力度</w:t>
      </w:r>
      <w:r>
        <w:rPr>
          <w:rFonts w:ascii="仿宋" w:eastAsia="仿宋" w:hAnsi="仿宋" w:hint="eastAsia"/>
          <w:sz w:val="30"/>
          <w:szCs w:val="30"/>
        </w:rPr>
        <w:t>。加大</w:t>
      </w:r>
      <w:r>
        <w:rPr>
          <w:rFonts w:ascii="仿宋" w:eastAsia="仿宋" w:hAnsi="仿宋"/>
          <w:sz w:val="30"/>
          <w:szCs w:val="30"/>
        </w:rPr>
        <w:t>核心人</w:t>
      </w:r>
    </w:p>
    <w:p>
      <w:pPr>
        <w:spacing w:line="550" w:lineRule="exact"/>
        <w:ind w:firstLine="588" w:firstLineChars="196"/>
        <w:rPr>
          <w:rFonts w:ascii="仿宋" w:eastAsia="仿宋" w:hAnsi="仿宋"/>
          <w:sz w:val="30"/>
          <w:szCs w:val="30"/>
        </w:rPr>
      </w:pPr>
      <w:r>
        <w:rPr>
          <w:rFonts w:ascii="仿宋" w:eastAsia="仿宋" w:hAnsi="仿宋"/>
          <w:sz w:val="30"/>
          <w:szCs w:val="30"/>
        </w:rPr>
        <w:t>才引进、团队引进和柔性引进</w:t>
      </w:r>
      <w:r>
        <w:rPr>
          <w:rFonts w:ascii="仿宋" w:eastAsia="仿宋" w:hAnsi="仿宋" w:hint="eastAsia"/>
          <w:sz w:val="30"/>
          <w:szCs w:val="30"/>
        </w:rPr>
        <w:t>力度</w:t>
      </w:r>
      <w:r>
        <w:rPr>
          <w:rFonts w:ascii="仿宋" w:eastAsia="仿宋" w:hAnsi="仿宋"/>
          <w:sz w:val="30"/>
          <w:szCs w:val="30"/>
        </w:rPr>
        <w:t>，集聚一批学科建设拔尖人才</w:t>
      </w:r>
      <w:r>
        <w:rPr>
          <w:rFonts w:ascii="仿宋" w:eastAsia="仿宋" w:hAnsi="仿宋" w:hint="eastAsia"/>
          <w:sz w:val="30"/>
          <w:szCs w:val="30"/>
        </w:rPr>
        <w:t>，争取每个专业配备1-2名学科带头人</w:t>
      </w:r>
      <w:r>
        <w:rPr>
          <w:rFonts w:ascii="仿宋" w:eastAsia="仿宋" w:hAnsi="仿宋"/>
          <w:sz w:val="30"/>
          <w:szCs w:val="30"/>
        </w:rPr>
        <w:t>。对学</w:t>
      </w:r>
      <w:r>
        <w:rPr>
          <w:rFonts w:ascii="仿宋" w:eastAsia="仿宋" w:hAnsi="仿宋" w:hint="eastAsia"/>
          <w:sz w:val="30"/>
          <w:szCs w:val="30"/>
        </w:rPr>
        <w:t>校</w:t>
      </w:r>
      <w:r>
        <w:rPr>
          <w:rFonts w:ascii="仿宋" w:eastAsia="仿宋" w:hAnsi="仿宋"/>
          <w:sz w:val="30"/>
          <w:szCs w:val="30"/>
        </w:rPr>
        <w:t>重点发展的优势和特色学科，采取单独建制或设立专职科研编制等方式，在人、财、物上重点支持，以确保学术团队发挥最大绩效。</w:t>
      </w:r>
    </w:p>
    <w:p>
      <w:pPr>
        <w:spacing w:line="550" w:lineRule="exact"/>
        <w:ind w:firstLine="588" w:firstLineChars="196"/>
        <w:rPr>
          <w:rFonts w:ascii="仿宋" w:eastAsia="仿宋" w:hAnsi="仿宋"/>
          <w:sz w:val="30"/>
          <w:szCs w:val="30"/>
        </w:rPr>
      </w:pPr>
      <w:r>
        <w:rPr>
          <w:rFonts w:ascii="仿宋" w:eastAsia="仿宋" w:hAnsi="仿宋" w:hint="eastAsia"/>
          <w:b/>
          <w:sz w:val="30"/>
          <w:szCs w:val="30"/>
        </w:rPr>
        <w:t>4.加强</w:t>
      </w:r>
      <w:r>
        <w:rPr>
          <w:rFonts w:ascii="仿宋" w:eastAsia="仿宋" w:hAnsi="仿宋" w:hint="eastAsia"/>
          <w:b/>
          <w:sz w:val="30"/>
          <w:szCs w:val="30"/>
        </w:rPr>
        <w:t>“</w:t>
      </w:r>
      <w:r>
        <w:rPr>
          <w:rFonts w:ascii="仿宋" w:eastAsia="仿宋" w:hAnsi="仿宋" w:hint="eastAsia"/>
          <w:b/>
          <w:sz w:val="30"/>
          <w:szCs w:val="30"/>
        </w:rPr>
        <w:t>双师双能</w:t>
      </w:r>
      <w:r>
        <w:rPr>
          <w:rFonts w:ascii="仿宋" w:eastAsia="仿宋" w:hAnsi="仿宋" w:hint="eastAsia"/>
          <w:b/>
          <w:sz w:val="30"/>
          <w:szCs w:val="30"/>
        </w:rPr>
        <w:t>”</w:t>
      </w:r>
      <w:r>
        <w:rPr>
          <w:rFonts w:ascii="仿宋" w:eastAsia="仿宋" w:hAnsi="仿宋" w:hint="eastAsia"/>
          <w:b/>
          <w:sz w:val="30"/>
          <w:szCs w:val="30"/>
        </w:rPr>
        <w:t>型教师队伍建设。</w:t>
      </w:r>
      <w:r>
        <w:rPr>
          <w:rFonts w:ascii="仿宋" w:eastAsia="仿宋" w:hAnsi="仿宋" w:hint="eastAsia"/>
          <w:sz w:val="30"/>
          <w:szCs w:val="30"/>
        </w:rPr>
        <w:t>积极引进行业、企业有工程实践背景的专业人才；制订鼓励政策，每年各专业均安排2-3名青年教师通过指导学生实习、到企业挂职锻炼等方式，提高青年教师</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型教师比例。</w:t>
      </w:r>
    </w:p>
    <w:p>
      <w:pPr>
        <w:spacing w:line="550" w:lineRule="exact"/>
        <w:ind w:firstLine="588" w:firstLineChars="196"/>
        <w:rPr>
          <w:rFonts w:ascii="仿宋" w:eastAsia="仿宋" w:hAnsi="仿宋"/>
          <w:sz w:val="30"/>
          <w:szCs w:val="30"/>
        </w:rPr>
      </w:pPr>
      <w:r>
        <w:rPr>
          <w:rFonts w:ascii="仿宋" w:eastAsia="仿宋" w:hAnsi="仿宋" w:hint="eastAsia"/>
          <w:b/>
          <w:sz w:val="30"/>
          <w:szCs w:val="30"/>
        </w:rPr>
        <w:t>5.</w:t>
      </w:r>
      <w:r>
        <w:rPr>
          <w:rFonts w:ascii="仿宋" w:eastAsia="仿宋" w:hAnsi="仿宋"/>
          <w:b/>
          <w:sz w:val="30"/>
          <w:szCs w:val="30"/>
        </w:rPr>
        <w:t>加强教辅和管理干部队伍建设。</w:t>
      </w:r>
      <w:r>
        <w:rPr>
          <w:rFonts w:ascii="仿宋" w:eastAsia="仿宋" w:hAnsi="仿宋"/>
          <w:sz w:val="30"/>
          <w:szCs w:val="30"/>
        </w:rPr>
        <w:t>加强实验技术人员等教辅队伍建设，完善考核评价体系。逐步改善管理队伍的知识结构、学历结构、职称结构和年龄结构，采取多元培养和选拔的方式，建设一支作风踏实、水平较高、专兼结合的高素质干部队伍。</w:t>
      </w:r>
    </w:p>
    <w:p>
      <w:pPr>
        <w:spacing w:line="550" w:lineRule="exact"/>
        <w:ind w:firstLine="588" w:firstLineChars="196"/>
        <w:rPr>
          <w:rFonts w:ascii="楷体" w:eastAsia="楷体" w:hAnsi="楷体" w:cs="楷体"/>
          <w:b/>
          <w:bCs/>
          <w:sz w:val="30"/>
          <w:szCs w:val="30"/>
        </w:rPr>
      </w:pPr>
      <w:bookmarkStart w:id="38" w:name="_Toc15380_WPSOffice_Level2"/>
      <w:r>
        <w:rPr>
          <w:rFonts w:ascii="楷体" w:eastAsia="楷体" w:hAnsi="楷体" w:cs="楷体" w:hint="eastAsia"/>
          <w:b/>
          <w:bCs/>
          <w:sz w:val="30"/>
          <w:szCs w:val="30"/>
        </w:rPr>
        <w:t>（三）强化教学建设与改革，提升人才培养质量工程</w:t>
      </w:r>
      <w:bookmarkEnd w:id="38"/>
    </w:p>
    <w:p>
      <w:pPr>
        <w:spacing w:line="550" w:lineRule="exact"/>
        <w:ind w:firstLine="588" w:firstLineChars="196"/>
        <w:rPr>
          <w:rFonts w:ascii="仿宋" w:eastAsia="仿宋" w:hAnsi="仿宋"/>
          <w:b/>
          <w:sz w:val="30"/>
          <w:szCs w:val="30"/>
        </w:rPr>
      </w:pPr>
      <w:bookmarkStart w:id="39" w:name="_Toc6373_WPSOffice_Level3"/>
      <w:r>
        <w:rPr>
          <w:rFonts w:ascii="仿宋" w:eastAsia="仿宋" w:hAnsi="仿宋" w:hint="eastAsia"/>
          <w:b/>
          <w:sz w:val="30"/>
          <w:szCs w:val="30"/>
        </w:rPr>
        <w:t>1.教学建设与改革工程</w:t>
      </w:r>
      <w:bookmarkEnd w:id="39"/>
    </w:p>
    <w:p>
      <w:pPr>
        <w:spacing w:line="550" w:lineRule="exact"/>
        <w:ind w:firstLine="588" w:firstLineChars="196"/>
        <w:rPr>
          <w:rFonts w:ascii="仿宋" w:eastAsia="仿宋" w:hAnsi="仿宋"/>
          <w:sz w:val="30"/>
          <w:szCs w:val="30"/>
        </w:rPr>
      </w:pPr>
      <w:r>
        <w:rPr>
          <w:rFonts w:ascii="仿宋" w:eastAsia="仿宋" w:hAnsi="仿宋" w:hint="eastAsia"/>
          <w:sz w:val="30"/>
          <w:szCs w:val="30"/>
        </w:rPr>
        <w:t>（1）改革人才培养模式，全面修改人才培养方案。主动融入京津冀区域经济社会发展，加强与行业、核心骨干企业对接，建立有效的合作、联动机制，促进教学过程与生产、管理过程相结合，建立职业需求导向的课程体系和校企资源衔接的实践教学环境，努力促进学生培养过程与主辅修相结合、学生个性发展与创新创业相结合、实习实训与就业相结合，探索利于学生发展的</w:t>
      </w:r>
      <w:r>
        <w:rPr>
          <w:rFonts w:ascii="仿宋" w:eastAsia="仿宋" w:hAnsi="仿宋" w:hint="eastAsia"/>
          <w:sz w:val="30"/>
          <w:szCs w:val="30"/>
        </w:rPr>
        <w:t>“</w:t>
      </w:r>
      <w:r>
        <w:rPr>
          <w:rFonts w:ascii="仿宋" w:eastAsia="仿宋" w:hAnsi="仿宋" w:hint="eastAsia"/>
          <w:sz w:val="30"/>
          <w:szCs w:val="30"/>
        </w:rPr>
        <w:t>产教融合、校企合作、协同育人</w:t>
      </w:r>
      <w:r>
        <w:rPr>
          <w:rFonts w:ascii="仿宋" w:eastAsia="仿宋" w:hAnsi="仿宋" w:hint="eastAsia"/>
          <w:sz w:val="30"/>
          <w:szCs w:val="30"/>
        </w:rPr>
        <w:t>”</w:t>
      </w:r>
      <w:r>
        <w:rPr>
          <w:rFonts w:ascii="仿宋" w:eastAsia="仿宋" w:hAnsi="仿宋" w:hint="eastAsia"/>
          <w:sz w:val="30"/>
          <w:szCs w:val="30"/>
        </w:rPr>
        <w:t>的人才培养模式。积极推行学分制管理，实施主辅修制，探索</w:t>
      </w:r>
      <w:r>
        <w:rPr>
          <w:rFonts w:ascii="仿宋" w:eastAsia="仿宋" w:hAnsi="仿宋" w:hint="eastAsia"/>
          <w:sz w:val="30"/>
          <w:szCs w:val="30"/>
        </w:rPr>
        <w:t>“</w:t>
      </w:r>
      <w:r>
        <w:rPr>
          <w:rFonts w:ascii="仿宋" w:eastAsia="仿宋" w:hAnsi="仿宋" w:hint="eastAsia"/>
          <w:sz w:val="30"/>
          <w:szCs w:val="30"/>
        </w:rPr>
        <w:t>双学位</w:t>
      </w:r>
      <w:r>
        <w:rPr>
          <w:rFonts w:ascii="仿宋" w:eastAsia="仿宋" w:hAnsi="仿宋" w:hint="eastAsia"/>
          <w:sz w:val="30"/>
          <w:szCs w:val="30"/>
        </w:rPr>
        <w:t>”</w:t>
      </w:r>
      <w:r>
        <w:rPr>
          <w:rFonts w:ascii="仿宋" w:eastAsia="仿宋" w:hAnsi="仿宋" w:hint="eastAsia"/>
          <w:sz w:val="30"/>
          <w:szCs w:val="30"/>
        </w:rPr>
        <w:t>教育模式。</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学校根据行业、企业发展需求，明确专业发展定位，完善人才培养目标体系，建立与职业标准相匹配的人才培养质量标准，优化课程内容与课程体系，把创新创业教育融入人才培养全过程，加强实践教学环节，把实习实训的课时（或学分）占毕业要求总学时（或学分）的比例提高到30％以上，全面修订人才培养方案，努力构建以应用能力培养为主的专业教育体系。</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2）加大课程建设力度。积极推进优质课程建设工作，到2020年，力争每个专业建设1-2门优质专业核心课程。丰富通识选修课程资源，加强人文素养、科学素养、艺术鉴赏、经济管理、法律及环境保护等课程建设。</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积极推进</w:t>
      </w:r>
      <w:r>
        <w:rPr>
          <w:rFonts w:ascii="仿宋" w:eastAsia="仿宋" w:hAnsi="仿宋" w:hint="eastAsia"/>
          <w:sz w:val="30"/>
          <w:szCs w:val="30"/>
        </w:rPr>
        <w:t>“</w:t>
      </w:r>
      <w:r>
        <w:rPr>
          <w:rFonts w:ascii="仿宋" w:eastAsia="仿宋" w:hAnsi="仿宋" w:hint="eastAsia"/>
          <w:sz w:val="30"/>
          <w:szCs w:val="30"/>
        </w:rPr>
        <w:t>慕课</w:t>
      </w:r>
      <w:r>
        <w:rPr>
          <w:rFonts w:ascii="仿宋" w:eastAsia="仿宋" w:hAnsi="仿宋" w:hint="eastAsia"/>
          <w:sz w:val="30"/>
          <w:szCs w:val="30"/>
        </w:rPr>
        <w:t>”</w:t>
      </w:r>
      <w:r>
        <w:rPr>
          <w:rFonts w:ascii="仿宋" w:eastAsia="仿宋" w:hAnsi="仿宋" w:hint="eastAsia"/>
          <w:sz w:val="30"/>
          <w:szCs w:val="30"/>
        </w:rPr>
        <w:t>等网络在线课程建设，开发或引进数字化开放式课程资源。建立课程负责人制，形成稳定的、服务课程的教学团队，提升团队教学能力。</w:t>
      </w:r>
    </w:p>
    <w:p>
      <w:pPr>
        <w:spacing w:line="550" w:lineRule="exact"/>
        <w:ind w:firstLine="588" w:firstLineChars="196"/>
        <w:rPr>
          <w:rFonts w:ascii="仿宋" w:eastAsia="仿宋" w:hAnsi="仿宋"/>
          <w:sz w:val="30"/>
          <w:szCs w:val="30"/>
        </w:rPr>
      </w:pPr>
      <w:r>
        <w:rPr>
          <w:rFonts w:ascii="仿宋" w:eastAsia="仿宋" w:hAnsi="仿宋"/>
          <w:sz w:val="30"/>
          <w:szCs w:val="30"/>
        </w:rPr>
        <w:t>教师</w:t>
      </w:r>
      <w:r>
        <w:rPr>
          <w:rFonts w:ascii="仿宋" w:eastAsia="仿宋" w:hAnsi="仿宋" w:hint="eastAsia"/>
          <w:sz w:val="30"/>
          <w:szCs w:val="30"/>
        </w:rPr>
        <w:t>要</w:t>
      </w:r>
      <w:r>
        <w:rPr>
          <w:rFonts w:ascii="仿宋" w:eastAsia="仿宋" w:hAnsi="仿宋"/>
          <w:sz w:val="30"/>
          <w:szCs w:val="30"/>
        </w:rPr>
        <w:t>把主要精力放在教学上</w:t>
      </w:r>
      <w:r>
        <w:rPr>
          <w:rFonts w:ascii="仿宋" w:eastAsia="仿宋" w:hAnsi="仿宋" w:hint="eastAsia"/>
          <w:sz w:val="30"/>
          <w:szCs w:val="30"/>
        </w:rPr>
        <w:t>。</w:t>
      </w:r>
      <w:r>
        <w:rPr>
          <w:rFonts w:ascii="仿宋" w:eastAsia="仿宋" w:hAnsi="仿宋"/>
          <w:sz w:val="30"/>
          <w:szCs w:val="30"/>
        </w:rPr>
        <w:t>强化教师的教学研究工作，突出课程与教材建设的基础性、研究性和开放性。</w:t>
      </w:r>
      <w:r>
        <w:rPr>
          <w:rFonts w:ascii="仿宋" w:eastAsia="仿宋" w:hAnsi="仿宋" w:hint="eastAsia"/>
          <w:sz w:val="30"/>
          <w:szCs w:val="30"/>
        </w:rPr>
        <w:t>树立</w:t>
      </w:r>
      <w:r>
        <w:rPr>
          <w:rFonts w:ascii="仿宋" w:eastAsia="仿宋" w:hAnsi="仿宋" w:hint="eastAsia"/>
          <w:sz w:val="30"/>
          <w:szCs w:val="30"/>
        </w:rPr>
        <w:t>“</w:t>
      </w:r>
      <w:r>
        <w:rPr>
          <w:rFonts w:ascii="仿宋" w:eastAsia="仿宋" w:hAnsi="仿宋" w:hint="eastAsia"/>
          <w:sz w:val="30"/>
          <w:szCs w:val="30"/>
        </w:rPr>
        <w:t>以学生为中心</w:t>
      </w:r>
      <w:r>
        <w:rPr>
          <w:rFonts w:ascii="仿宋" w:eastAsia="仿宋" w:hAnsi="仿宋" w:hint="eastAsia"/>
          <w:sz w:val="30"/>
          <w:szCs w:val="30"/>
        </w:rPr>
        <w:t>”</w:t>
      </w:r>
      <w:r>
        <w:rPr>
          <w:rFonts w:ascii="仿宋" w:eastAsia="仿宋" w:hAnsi="仿宋" w:hint="eastAsia"/>
          <w:sz w:val="30"/>
          <w:szCs w:val="30"/>
        </w:rPr>
        <w:t>的教学理念，倡导实施启发式、合作式、参与式教学，努力推动项目教学、案例教学和线上线下相结合的教学模式和方法的改革，加强课程学习的过程考核，增加课业挑战度，力争实现以教师为主体向以学生为主体转变，以课堂教学为主向课内外兼修的混合教学模式转变，以结果评价为主向过程与结果考核相结合的综合考核模式转变。</w:t>
      </w:r>
    </w:p>
    <w:p>
      <w:pPr>
        <w:spacing w:line="550" w:lineRule="exact"/>
        <w:ind w:firstLine="588" w:firstLineChars="196"/>
        <w:rPr>
          <w:rFonts w:ascii="仿宋" w:eastAsia="仿宋" w:hAnsi="仿宋"/>
          <w:sz w:val="30"/>
          <w:szCs w:val="30"/>
        </w:rPr>
      </w:pPr>
      <w:r>
        <w:rPr>
          <w:rFonts w:ascii="仿宋" w:eastAsia="仿宋" w:hAnsi="仿宋" w:hint="eastAsia"/>
          <w:sz w:val="30"/>
          <w:szCs w:val="30"/>
        </w:rPr>
        <w:t>（3）探索学分制教学管理模式。探索学分制改革，形成与之相匹配的培养模式、培养方案、教学管理方法，优化教学资源配置，探索本科生弹性学习年限制度、创业休学制度，加强学业预警制度，探索慕课学分认定、校际学分互认和创新创业学分积累与转换制度，为学生自主设置学习进度奠定基础。</w:t>
      </w:r>
    </w:p>
    <w:p>
      <w:pPr>
        <w:spacing w:line="550" w:lineRule="exact"/>
        <w:ind w:firstLine="588" w:firstLineChars="196"/>
        <w:rPr>
          <w:rFonts w:ascii="仿宋" w:eastAsia="仿宋" w:hAnsi="仿宋"/>
          <w:b/>
          <w:sz w:val="30"/>
          <w:szCs w:val="30"/>
        </w:rPr>
      </w:pPr>
      <w:bookmarkStart w:id="40" w:name="_Toc17911_WPSOffice_Level3"/>
      <w:r>
        <w:rPr>
          <w:rFonts w:ascii="仿宋" w:eastAsia="仿宋" w:hAnsi="仿宋" w:hint="eastAsia"/>
          <w:b/>
          <w:sz w:val="30"/>
          <w:szCs w:val="30"/>
        </w:rPr>
        <w:t>2.创新创业教育推进工程</w:t>
      </w:r>
      <w:bookmarkEnd w:id="40"/>
    </w:p>
    <w:p>
      <w:pPr>
        <w:spacing w:line="550" w:lineRule="exact"/>
        <w:ind w:firstLine="588" w:firstLineChars="196"/>
        <w:jc w:val="left"/>
        <w:rPr>
          <w:rFonts w:ascii="仿宋" w:eastAsia="仿宋" w:hAnsi="仿宋"/>
          <w:sz w:val="30"/>
          <w:szCs w:val="30"/>
        </w:rPr>
      </w:pPr>
      <w:r>
        <w:rPr>
          <w:rFonts w:ascii="仿宋" w:eastAsia="仿宋" w:hAnsi="仿宋" w:hint="eastAsia"/>
          <w:sz w:val="30"/>
          <w:szCs w:val="30"/>
        </w:rPr>
        <w:t>根据创新创业教育目标要求调整专业课程设置，健全创新创业教育课程体系。积极推进实验教学平台共享，建设好一批大学生校外创新创业实践基地。加强第二课堂建设，积极引导和培育一批激发学生探究兴趣的科技社团，按照专业群设立1-2个校内创新创业竞赛项目，引导学生创新创业实践，积极参加全国大学生创新创业竞赛。建立学生创新创业实践活动统一管理机制。加强教师创新创业教育教学能力建设，聘请行业优秀人才担任专业课、创新创业课指导教师，努力形成创新创业优秀导师团队。</w:t>
      </w:r>
    </w:p>
    <w:p>
      <w:pPr>
        <w:spacing w:line="550" w:lineRule="exact"/>
        <w:ind w:firstLine="588" w:firstLineChars="196"/>
        <w:rPr>
          <w:rFonts w:ascii="仿宋" w:eastAsia="仿宋" w:hAnsi="仿宋"/>
          <w:b/>
          <w:sz w:val="30"/>
          <w:szCs w:val="30"/>
        </w:rPr>
      </w:pPr>
      <w:bookmarkStart w:id="41" w:name="_Toc2317_WPSOffice_Level3"/>
      <w:r>
        <w:rPr>
          <w:rFonts w:ascii="仿宋" w:eastAsia="仿宋" w:hAnsi="仿宋" w:hint="eastAsia"/>
          <w:b/>
          <w:sz w:val="30"/>
          <w:szCs w:val="30"/>
        </w:rPr>
        <w:t>3.实践教学平台建设工程</w:t>
      </w:r>
      <w:bookmarkEnd w:id="41"/>
    </w:p>
    <w:p>
      <w:pPr>
        <w:spacing w:line="550" w:lineRule="exact"/>
        <w:ind w:firstLine="588" w:firstLineChars="196"/>
        <w:rPr>
          <w:rFonts w:ascii="仿宋" w:eastAsia="仿宋" w:hAnsi="仿宋"/>
          <w:sz w:val="30"/>
          <w:szCs w:val="30"/>
        </w:rPr>
      </w:pPr>
      <w:r>
        <w:rPr>
          <w:rFonts w:ascii="仿宋" w:eastAsia="仿宋" w:hAnsi="仿宋" w:hint="eastAsia"/>
          <w:sz w:val="30"/>
          <w:szCs w:val="30"/>
        </w:rPr>
        <w:t>制订实验教学条件建设规划，采取分批次集中建设实验室的方式，分步改善实验教学条件；强化企业对接、合作，充分利用合作企业的实习实训资源，力争共建实验实训平台，实现实验设备等资源在校内集聚。创新实践教学管理体制，按照</w:t>
      </w:r>
      <w:r>
        <w:rPr>
          <w:rFonts w:ascii="仿宋" w:eastAsia="仿宋" w:hAnsi="仿宋" w:hint="eastAsia"/>
          <w:sz w:val="30"/>
          <w:szCs w:val="30"/>
        </w:rPr>
        <w:t>“</w:t>
      </w:r>
      <w:r>
        <w:rPr>
          <w:rFonts w:ascii="仿宋" w:eastAsia="仿宋" w:hAnsi="仿宋" w:hint="eastAsia"/>
          <w:sz w:val="30"/>
          <w:szCs w:val="30"/>
        </w:rPr>
        <w:t>统筹、整合、共享</w:t>
      </w:r>
      <w:r>
        <w:rPr>
          <w:rFonts w:ascii="仿宋" w:eastAsia="仿宋" w:hAnsi="仿宋" w:hint="eastAsia"/>
          <w:sz w:val="30"/>
          <w:szCs w:val="30"/>
        </w:rPr>
        <w:t>”</w:t>
      </w:r>
      <w:r>
        <w:rPr>
          <w:rFonts w:ascii="仿宋" w:eastAsia="仿宋" w:hAnsi="仿宋" w:hint="eastAsia"/>
          <w:sz w:val="30"/>
          <w:szCs w:val="30"/>
        </w:rPr>
        <w:t>的原则，筹建实验教学中心，强化对学生实践能力、创新创业能力培养的支撑作用。完善、充实由基础训练、应用训练、创新训练和综合训练组成的</w:t>
      </w:r>
      <w:r>
        <w:rPr>
          <w:rFonts w:ascii="仿宋" w:eastAsia="仿宋" w:hAnsi="仿宋" w:hint="eastAsia"/>
          <w:sz w:val="30"/>
          <w:szCs w:val="30"/>
        </w:rPr>
        <w:t>“</w:t>
      </w:r>
      <w:r>
        <w:rPr>
          <w:rFonts w:ascii="仿宋" w:eastAsia="仿宋" w:hAnsi="仿宋" w:hint="eastAsia"/>
          <w:sz w:val="30"/>
          <w:szCs w:val="30"/>
        </w:rPr>
        <w:t>四个层面</w:t>
      </w:r>
      <w:r>
        <w:rPr>
          <w:rFonts w:ascii="仿宋" w:eastAsia="仿宋" w:hAnsi="仿宋" w:hint="eastAsia"/>
          <w:sz w:val="30"/>
          <w:szCs w:val="30"/>
        </w:rPr>
        <w:t>”</w:t>
      </w:r>
      <w:r>
        <w:rPr>
          <w:rFonts w:ascii="仿宋" w:eastAsia="仿宋" w:hAnsi="仿宋" w:hint="eastAsia"/>
          <w:sz w:val="30"/>
          <w:szCs w:val="30"/>
        </w:rPr>
        <w:t>的实践教学体系。加强学生实习实训基地建设，力争每个专业建立全面深入合作、稳定的实习实训基地5-10个，研究并建立</w:t>
      </w:r>
      <w:r>
        <w:rPr>
          <w:rFonts w:ascii="仿宋" w:eastAsia="仿宋" w:hAnsi="仿宋" w:hint="eastAsia"/>
          <w:sz w:val="30"/>
          <w:szCs w:val="30"/>
        </w:rPr>
        <w:t>“</w:t>
      </w:r>
      <w:r>
        <w:rPr>
          <w:rFonts w:ascii="仿宋" w:eastAsia="仿宋" w:hAnsi="仿宋" w:hint="eastAsia"/>
          <w:sz w:val="30"/>
          <w:szCs w:val="30"/>
        </w:rPr>
        <w:t>顶岗实习</w:t>
      </w:r>
      <w:r>
        <w:rPr>
          <w:rFonts w:ascii="仿宋" w:eastAsia="仿宋" w:hAnsi="仿宋" w:hint="eastAsia"/>
          <w:sz w:val="30"/>
          <w:szCs w:val="30"/>
        </w:rPr>
        <w:t>”</w:t>
      </w:r>
      <w:r>
        <w:rPr>
          <w:rFonts w:ascii="仿宋" w:eastAsia="仿宋" w:hAnsi="仿宋" w:hint="eastAsia"/>
          <w:sz w:val="30"/>
          <w:szCs w:val="30"/>
        </w:rPr>
        <w:t>、毕业设计（论文）等实践环节的管理模式和运行机制，加强过程管理，保障训练质量。</w:t>
      </w:r>
    </w:p>
    <w:p>
      <w:pPr>
        <w:spacing w:line="550" w:lineRule="exact"/>
        <w:ind w:firstLine="588" w:firstLineChars="196"/>
        <w:rPr>
          <w:rFonts w:ascii="仿宋" w:eastAsia="仿宋" w:hAnsi="仿宋"/>
          <w:b/>
          <w:sz w:val="30"/>
          <w:szCs w:val="30"/>
        </w:rPr>
      </w:pPr>
      <w:bookmarkStart w:id="42" w:name="_Toc5014_WPSOffice_Level3"/>
      <w:r>
        <w:rPr>
          <w:rFonts w:ascii="仿宋" w:eastAsia="仿宋" w:hAnsi="仿宋" w:hint="eastAsia"/>
          <w:b/>
          <w:sz w:val="30"/>
          <w:szCs w:val="30"/>
        </w:rPr>
        <w:t>4.教学质量保证工程</w:t>
      </w:r>
      <w:bookmarkEnd w:id="42"/>
    </w:p>
    <w:p>
      <w:pPr>
        <w:spacing w:line="550" w:lineRule="exact"/>
        <w:ind w:firstLine="588" w:firstLineChars="196"/>
        <w:rPr>
          <w:rFonts w:ascii="仿宋" w:eastAsia="仿宋" w:hAnsi="仿宋"/>
          <w:sz w:val="30"/>
          <w:szCs w:val="30"/>
        </w:rPr>
      </w:pPr>
      <w:r>
        <w:rPr>
          <w:rFonts w:ascii="仿宋" w:eastAsia="仿宋" w:hAnsi="仿宋" w:hint="eastAsia"/>
          <w:sz w:val="30"/>
          <w:szCs w:val="30"/>
        </w:rPr>
        <w:t>逐步完善理论教学、实践教学等教学过程各要素的质量标准，健全校院两级、全员参与、覆盖学生培养全过程的教学质量保障与监控体系，实现教学过程关键节点监控常态化，促进教学质量持续提高；加强自我评估，充分发挥教学督导委员会的作用，把好教学质量关。加强基层教学组织建设，充分发挥教研室主任在专业建设和教学管理工作中的主动性。</w:t>
      </w:r>
    </w:p>
    <w:p>
      <w:pPr>
        <w:spacing w:line="550" w:lineRule="exact"/>
        <w:ind w:firstLine="588" w:firstLineChars="196"/>
        <w:rPr>
          <w:rFonts w:ascii="楷体" w:eastAsia="楷体" w:hAnsi="楷体" w:cs="楷体"/>
          <w:b/>
          <w:bCs/>
          <w:sz w:val="30"/>
          <w:szCs w:val="30"/>
        </w:rPr>
      </w:pPr>
      <w:bookmarkStart w:id="43" w:name="_Toc2463_WPSOffice_Level2"/>
      <w:r>
        <w:rPr>
          <w:rFonts w:ascii="楷体" w:eastAsia="楷体" w:hAnsi="楷体" w:cs="楷体" w:hint="eastAsia"/>
          <w:b/>
          <w:bCs/>
          <w:sz w:val="30"/>
          <w:szCs w:val="30"/>
        </w:rPr>
        <w:t>（四）改善校园网络环境，实施信息化提升工程</w:t>
      </w:r>
      <w:bookmarkEnd w:id="43"/>
    </w:p>
    <w:p>
      <w:pPr>
        <w:spacing w:line="550" w:lineRule="exact"/>
        <w:ind w:firstLine="588" w:firstLineChars="196"/>
        <w:rPr>
          <w:rFonts w:ascii="仿宋" w:eastAsia="仿宋" w:hAnsi="仿宋" w:cs="仿宋"/>
          <w:sz w:val="30"/>
          <w:szCs w:val="30"/>
        </w:rPr>
      </w:pPr>
      <w:r>
        <w:rPr>
          <w:rFonts w:ascii="仿宋" w:eastAsia="仿宋" w:hAnsi="仿宋" w:hint="eastAsia"/>
          <w:sz w:val="30"/>
          <w:szCs w:val="30"/>
        </w:rPr>
        <w:t>制定并实施《河北科技学院</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信息化建设规划》，</w:t>
      </w:r>
      <w:r>
        <w:rPr>
          <w:rFonts w:ascii="仿宋" w:eastAsia="仿宋" w:hAnsi="仿宋" w:cs="仿宋" w:hint="eastAsia"/>
          <w:sz w:val="30"/>
          <w:szCs w:val="30"/>
        </w:rPr>
        <w:t>增加专项经费投入，全面升级校园网络，提升校园网络承载能力，提升信息化建设水平，发挥现代信息技术的作用，以教育信息化促进教育理念、教学模式和学习方式的变革。努力建设网络学习空间和教学平台，为教师开展网络教学、资源推送、答疑辅导、实施获取教学效果反馈等提供一站式服务；为学生自主选择学习内容、学习方式、学习时间、加强师生互动提供集成式服务；为提高教学管理水平、完善教学质量保障与监控体系建设提供服务。</w:t>
      </w:r>
    </w:p>
    <w:p>
      <w:pPr>
        <w:spacing w:line="550" w:lineRule="exact"/>
        <w:ind w:firstLine="588" w:firstLineChars="196"/>
        <w:rPr>
          <w:rFonts w:ascii="楷体" w:eastAsia="楷体" w:hAnsi="楷体" w:cs="楷体"/>
          <w:b/>
          <w:bCs/>
          <w:sz w:val="30"/>
          <w:szCs w:val="30"/>
        </w:rPr>
      </w:pPr>
      <w:bookmarkStart w:id="44" w:name="_Toc19050_WPSOffice_Level2"/>
      <w:r>
        <w:rPr>
          <w:rFonts w:ascii="楷体" w:eastAsia="楷体" w:hAnsi="楷体" w:cs="楷体" w:hint="eastAsia"/>
          <w:b/>
          <w:bCs/>
          <w:sz w:val="30"/>
          <w:szCs w:val="30"/>
        </w:rPr>
        <w:t>（五）建设美丽校园，实施校园文化建设工程</w:t>
      </w:r>
      <w:bookmarkEnd w:id="44"/>
    </w:p>
    <w:p>
      <w:pPr>
        <w:spacing w:line="550" w:lineRule="exact"/>
        <w:ind w:firstLine="588" w:firstLineChars="196"/>
        <w:rPr>
          <w:rFonts w:ascii="仿宋" w:eastAsia="仿宋" w:hAnsi="仿宋"/>
          <w:sz w:val="30"/>
          <w:szCs w:val="30"/>
        </w:rPr>
      </w:pPr>
      <w:r>
        <w:rPr>
          <w:rFonts w:ascii="仿宋" w:eastAsia="仿宋" w:hAnsi="仿宋" w:hint="eastAsia"/>
          <w:sz w:val="30"/>
          <w:szCs w:val="30"/>
        </w:rPr>
        <w:t>实施校园文化建设工程。</w:t>
      </w:r>
      <w:r>
        <w:rPr>
          <w:rFonts w:ascii="仿宋" w:eastAsia="仿宋" w:hAnsi="仿宋"/>
          <w:sz w:val="30"/>
          <w:szCs w:val="30"/>
        </w:rPr>
        <w:t>提炼塑造学</w:t>
      </w:r>
      <w:r>
        <w:rPr>
          <w:rFonts w:ascii="仿宋" w:eastAsia="仿宋" w:hAnsi="仿宋" w:hint="eastAsia"/>
          <w:sz w:val="30"/>
          <w:szCs w:val="30"/>
        </w:rPr>
        <w:t>校</w:t>
      </w:r>
      <w:r>
        <w:rPr>
          <w:rFonts w:ascii="仿宋" w:eastAsia="仿宋" w:hAnsi="仿宋"/>
          <w:sz w:val="30"/>
          <w:szCs w:val="30"/>
        </w:rPr>
        <w:t>精神和大学理念，扎实推进校园文化建设。</w:t>
      </w:r>
      <w:r>
        <w:rPr>
          <w:rFonts w:ascii="仿宋" w:eastAsia="仿宋" w:hAnsi="仿宋" w:hint="eastAsia"/>
          <w:sz w:val="30"/>
          <w:szCs w:val="30"/>
        </w:rPr>
        <w:t>深入开展</w:t>
      </w:r>
      <w:r>
        <w:rPr>
          <w:rFonts w:ascii="仿宋" w:eastAsia="仿宋" w:hAnsi="仿宋" w:hint="eastAsia"/>
          <w:sz w:val="30"/>
          <w:szCs w:val="30"/>
        </w:rPr>
        <w:t>“</w:t>
      </w:r>
      <w:r>
        <w:rPr>
          <w:rFonts w:ascii="仿宋" w:eastAsia="仿宋" w:hAnsi="仿宋" w:cs="宋体" w:hint="eastAsia"/>
          <w:kern w:val="0"/>
          <w:sz w:val="30"/>
          <w:szCs w:val="30"/>
        </w:rPr>
        <w:t>中华优秀传统文化滋养人</w:t>
      </w:r>
      <w:r>
        <w:rPr>
          <w:rFonts w:ascii="仿宋" w:eastAsia="仿宋" w:hAnsi="仿宋" w:cs="仿宋" w:hint="eastAsia"/>
          <w:sz w:val="30"/>
          <w:szCs w:val="30"/>
        </w:rPr>
        <w:t>、</w:t>
      </w:r>
      <w:r>
        <w:rPr>
          <w:rFonts w:ascii="仿宋" w:eastAsia="仿宋" w:hAnsi="仿宋" w:cs="宋体" w:hint="eastAsia"/>
          <w:kern w:val="0"/>
          <w:sz w:val="30"/>
          <w:szCs w:val="30"/>
        </w:rPr>
        <w:t>军营文化锻炼人</w:t>
      </w:r>
      <w:r>
        <w:rPr>
          <w:rFonts w:ascii="仿宋" w:eastAsia="仿宋" w:hAnsi="仿宋" w:cs="仿宋" w:hint="eastAsia"/>
          <w:sz w:val="30"/>
          <w:szCs w:val="30"/>
        </w:rPr>
        <w:t>、</w:t>
      </w:r>
      <w:r>
        <w:rPr>
          <w:rFonts w:ascii="仿宋" w:eastAsia="仿宋" w:hAnsi="仿宋" w:cs="宋体" w:hint="eastAsia"/>
          <w:kern w:val="0"/>
          <w:sz w:val="30"/>
          <w:szCs w:val="30"/>
        </w:rPr>
        <w:t>社会主义先进文化陶冶人</w:t>
      </w:r>
      <w:r>
        <w:rPr>
          <w:rFonts w:ascii="仿宋" w:eastAsia="仿宋" w:hAnsi="仿宋" w:cs="仿宋" w:hint="eastAsia"/>
          <w:sz w:val="30"/>
          <w:szCs w:val="30"/>
        </w:rPr>
        <w:t>”</w:t>
      </w:r>
      <w:r>
        <w:rPr>
          <w:rFonts w:ascii="仿宋" w:eastAsia="仿宋" w:hAnsi="仿宋" w:cs="仿宋" w:hint="eastAsia"/>
          <w:sz w:val="30"/>
          <w:szCs w:val="30"/>
        </w:rPr>
        <w:t>功能研究与开发，形成办学风格；</w:t>
      </w:r>
      <w:r>
        <w:rPr>
          <w:rFonts w:ascii="仿宋" w:eastAsia="仿宋" w:hAnsi="仿宋"/>
          <w:sz w:val="30"/>
          <w:szCs w:val="30"/>
        </w:rPr>
        <w:t>以塑造</w:t>
      </w:r>
      <w:r>
        <w:rPr>
          <w:rFonts w:ascii="仿宋" w:eastAsia="仿宋" w:hAnsi="仿宋" w:hint="eastAsia"/>
          <w:sz w:val="30"/>
          <w:szCs w:val="30"/>
        </w:rPr>
        <w:t>孔子、华宝山</w:t>
      </w:r>
      <w:r>
        <w:rPr>
          <w:rFonts w:ascii="仿宋" w:eastAsia="仿宋" w:hAnsi="仿宋"/>
          <w:sz w:val="30"/>
          <w:szCs w:val="30"/>
        </w:rPr>
        <w:t>塑</w:t>
      </w:r>
      <w:r>
        <w:rPr>
          <w:rFonts w:ascii="仿宋" w:eastAsia="仿宋" w:hAnsi="仿宋" w:hint="eastAsia"/>
          <w:sz w:val="30"/>
          <w:szCs w:val="30"/>
        </w:rPr>
        <w:t>像</w:t>
      </w:r>
      <w:r>
        <w:rPr>
          <w:rFonts w:ascii="仿宋" w:eastAsia="仿宋" w:hAnsi="仿宋"/>
          <w:sz w:val="30"/>
          <w:szCs w:val="30"/>
        </w:rPr>
        <w:t>为契机，完善学</w:t>
      </w:r>
      <w:r>
        <w:rPr>
          <w:rFonts w:ascii="仿宋" w:eastAsia="仿宋" w:hAnsi="仿宋" w:hint="eastAsia"/>
          <w:sz w:val="30"/>
          <w:szCs w:val="30"/>
        </w:rPr>
        <w:t>校</w:t>
      </w:r>
      <w:r>
        <w:rPr>
          <w:rFonts w:ascii="仿宋" w:eastAsia="仿宋" w:hAnsi="仿宋"/>
          <w:sz w:val="30"/>
          <w:szCs w:val="30"/>
        </w:rPr>
        <w:t>形象设计与塑造工程，规范师生的行为文化，努力形成文明健康、积极向上的校园文化主旋律，充分发挥校园文化的育人功能。</w:t>
      </w:r>
    </w:p>
    <w:p>
      <w:pPr>
        <w:spacing w:line="550" w:lineRule="exact"/>
        <w:ind w:firstLine="588" w:firstLineChars="196"/>
        <w:rPr>
          <w:rFonts w:ascii="楷体" w:eastAsia="楷体" w:hAnsi="楷体" w:cs="楷体"/>
          <w:b/>
          <w:bCs/>
          <w:sz w:val="30"/>
          <w:szCs w:val="30"/>
        </w:rPr>
      </w:pPr>
      <w:bookmarkStart w:id="45" w:name="_Toc11958_WPSOffice_Level2"/>
      <w:r>
        <w:rPr>
          <w:rFonts w:ascii="楷体" w:eastAsia="楷体" w:hAnsi="楷体" w:cs="楷体" w:hint="eastAsia"/>
          <w:b/>
          <w:bCs/>
          <w:sz w:val="30"/>
          <w:szCs w:val="30"/>
        </w:rPr>
        <w:t>（六）开展交流合作，实施国际合作教育工程</w:t>
      </w:r>
      <w:bookmarkEnd w:id="45"/>
    </w:p>
    <w:p>
      <w:pPr>
        <w:spacing w:line="550" w:lineRule="exact"/>
        <w:ind w:firstLine="588" w:firstLineChars="196"/>
        <w:rPr>
          <w:rFonts w:ascii="仿宋" w:eastAsia="仿宋" w:hAnsi="仿宋"/>
          <w:sz w:val="30"/>
          <w:szCs w:val="30"/>
        </w:rPr>
      </w:pPr>
      <w:r>
        <w:rPr>
          <w:rFonts w:ascii="仿宋" w:eastAsia="仿宋" w:hAnsi="仿宋" w:hint="eastAsia"/>
          <w:sz w:val="30"/>
          <w:szCs w:val="30"/>
        </w:rPr>
        <w:t>实施国际合作教育工程。</w:t>
      </w:r>
      <w:r>
        <w:rPr>
          <w:rFonts w:ascii="仿宋" w:eastAsia="仿宋" w:hAnsi="仿宋"/>
          <w:sz w:val="30"/>
          <w:szCs w:val="30"/>
        </w:rPr>
        <w:t>开放办学，多渠道、多形式开展国内</w:t>
      </w:r>
      <w:r>
        <w:rPr>
          <w:rFonts w:ascii="仿宋" w:eastAsia="仿宋" w:hAnsi="仿宋" w:hint="eastAsia"/>
          <w:sz w:val="30"/>
          <w:szCs w:val="30"/>
        </w:rPr>
        <w:t>外</w:t>
      </w:r>
      <w:r>
        <w:rPr>
          <w:rFonts w:ascii="仿宋" w:eastAsia="仿宋" w:hAnsi="仿宋"/>
          <w:sz w:val="30"/>
          <w:szCs w:val="30"/>
        </w:rPr>
        <w:t>教育交流合作，是提升学</w:t>
      </w:r>
      <w:r>
        <w:rPr>
          <w:rFonts w:ascii="仿宋" w:eastAsia="仿宋" w:hAnsi="仿宋" w:hint="eastAsia"/>
          <w:sz w:val="30"/>
          <w:szCs w:val="30"/>
        </w:rPr>
        <w:t>校</w:t>
      </w:r>
      <w:r>
        <w:rPr>
          <w:rFonts w:ascii="仿宋" w:eastAsia="仿宋" w:hAnsi="仿宋"/>
          <w:sz w:val="30"/>
          <w:szCs w:val="30"/>
        </w:rPr>
        <w:t>综合实力和办学水平的重要途径。加强与国内</w:t>
      </w:r>
      <w:r>
        <w:rPr>
          <w:rFonts w:ascii="仿宋" w:eastAsia="仿宋" w:hAnsi="仿宋" w:hint="eastAsia"/>
          <w:sz w:val="30"/>
          <w:szCs w:val="30"/>
        </w:rPr>
        <w:t>外</w:t>
      </w:r>
      <w:r>
        <w:rPr>
          <w:rFonts w:ascii="仿宋" w:eastAsia="仿宋" w:hAnsi="仿宋"/>
          <w:sz w:val="30"/>
          <w:szCs w:val="30"/>
        </w:rPr>
        <w:t>高校的合作与交流，积极开展人才培养方面的有效合作，学习借鉴国内</w:t>
      </w:r>
      <w:r>
        <w:rPr>
          <w:rFonts w:ascii="仿宋" w:eastAsia="仿宋" w:hAnsi="仿宋" w:hint="eastAsia"/>
          <w:sz w:val="30"/>
          <w:szCs w:val="30"/>
        </w:rPr>
        <w:t>外</w:t>
      </w:r>
      <w:r>
        <w:rPr>
          <w:rFonts w:ascii="仿宋" w:eastAsia="仿宋" w:hAnsi="仿宋"/>
          <w:sz w:val="30"/>
          <w:szCs w:val="30"/>
        </w:rPr>
        <w:t>高校的办学经验、人才培养模式和管理模式，</w:t>
      </w:r>
      <w:r>
        <w:rPr>
          <w:rFonts w:ascii="仿宋" w:eastAsia="仿宋" w:hAnsi="仿宋" w:hint="eastAsia"/>
          <w:sz w:val="30"/>
          <w:szCs w:val="30"/>
        </w:rPr>
        <w:t>争取在独立设置中外合作办学机构或</w:t>
      </w:r>
      <w:r>
        <w:rPr>
          <w:rFonts w:ascii="仿宋" w:eastAsia="仿宋" w:hAnsi="仿宋"/>
          <w:sz w:val="30"/>
          <w:szCs w:val="30"/>
        </w:rPr>
        <w:t>合作</w:t>
      </w:r>
      <w:r>
        <w:rPr>
          <w:rFonts w:ascii="仿宋" w:eastAsia="仿宋" w:hAnsi="仿宋" w:hint="eastAsia"/>
          <w:sz w:val="30"/>
          <w:szCs w:val="30"/>
        </w:rPr>
        <w:t>办学项目上取得突破</w:t>
      </w:r>
      <w:r>
        <w:rPr>
          <w:rFonts w:ascii="仿宋" w:eastAsia="仿宋" w:hAnsi="仿宋"/>
          <w:sz w:val="30"/>
          <w:szCs w:val="30"/>
        </w:rPr>
        <w:t>，扩大学</w:t>
      </w:r>
      <w:r>
        <w:rPr>
          <w:rFonts w:ascii="仿宋" w:eastAsia="仿宋" w:hAnsi="仿宋" w:hint="eastAsia"/>
          <w:sz w:val="30"/>
          <w:szCs w:val="30"/>
        </w:rPr>
        <w:t>校的</w:t>
      </w:r>
      <w:r>
        <w:rPr>
          <w:rFonts w:ascii="仿宋" w:eastAsia="仿宋" w:hAnsi="仿宋"/>
          <w:sz w:val="30"/>
          <w:szCs w:val="30"/>
        </w:rPr>
        <w:t>知名度和影响力。</w:t>
      </w:r>
      <w:r>
        <w:rPr>
          <w:rFonts w:ascii="仿宋" w:eastAsia="仿宋" w:hAnsi="仿宋" w:hint="eastAsia"/>
          <w:sz w:val="30"/>
          <w:szCs w:val="30"/>
        </w:rPr>
        <w:t xml:space="preserve"> </w:t>
      </w:r>
    </w:p>
    <w:p>
      <w:pPr>
        <w:spacing w:line="550" w:lineRule="exact"/>
        <w:ind w:firstLine="588" w:firstLineChars="196"/>
        <w:rPr>
          <w:rFonts w:ascii="楷体" w:eastAsia="楷体" w:hAnsi="楷体" w:cs="楷体"/>
          <w:b/>
          <w:bCs/>
          <w:sz w:val="30"/>
          <w:szCs w:val="30"/>
        </w:rPr>
      </w:pPr>
      <w:bookmarkStart w:id="46" w:name="_Toc25854_WPSOffice_Level2"/>
      <w:r>
        <w:rPr>
          <w:rFonts w:ascii="楷体" w:eastAsia="楷体" w:hAnsi="楷体" w:cs="楷体" w:hint="eastAsia"/>
          <w:b/>
          <w:bCs/>
          <w:sz w:val="30"/>
          <w:szCs w:val="30"/>
        </w:rPr>
        <w:t>（七）改善办学条件，实施校园基础建设工程</w:t>
      </w:r>
      <w:bookmarkEnd w:id="46"/>
    </w:p>
    <w:p>
      <w:pPr>
        <w:spacing w:line="550" w:lineRule="exact"/>
        <w:ind w:firstLine="600" w:firstLineChars="200"/>
        <w:rPr>
          <w:rFonts w:ascii="仿宋" w:eastAsia="仿宋" w:hAnsi="仿宋"/>
          <w:sz w:val="30"/>
          <w:szCs w:val="30"/>
        </w:rPr>
      </w:pPr>
      <w:r>
        <w:rPr>
          <w:rFonts w:ascii="仿宋" w:eastAsia="仿宋" w:hAnsi="仿宋" w:hint="eastAsia"/>
          <w:sz w:val="30"/>
          <w:szCs w:val="30"/>
        </w:rPr>
        <w:t>根据学校发展建设的主要目标，结合学校校园建设与发展的实际情况，实行统筹规划，合理布局，整合资源，突出特色，围绕创建生态园林化校园，坚持以人为本，注重学科文化特征，协调办学功能，完善公用基础设施，建设一个功能齐备、有利教学、服务师生、方便生活，展示学校精神和校园文化，发挥环境育人作用，构建和谐优美的校园环境。</w:t>
      </w:r>
    </w:p>
    <w:p>
      <w:pPr>
        <w:spacing w:line="550" w:lineRule="exact"/>
        <w:ind w:firstLine="645"/>
        <w:rPr>
          <w:rFonts w:ascii="仿宋" w:eastAsia="仿宋" w:hAnsi="仿宋"/>
          <w:sz w:val="30"/>
          <w:szCs w:val="30"/>
        </w:rPr>
      </w:pPr>
      <w:r>
        <w:rPr>
          <w:rFonts w:ascii="仿宋" w:eastAsia="仿宋" w:hAnsi="仿宋" w:hint="eastAsia"/>
          <w:sz w:val="30"/>
          <w:szCs w:val="30"/>
        </w:rPr>
        <w:t>按照国家有关建设标准和指标，</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期间，计划新增建筑面积20万平方米，总体建筑面积达到54万平方米。生均占地面积大于100平方米、生均校舍建筑面积超过35平方米。</w:t>
      </w:r>
    </w:p>
    <w:p>
      <w:pPr>
        <w:spacing w:line="550" w:lineRule="exact"/>
        <w:ind w:firstLine="600" w:firstLineChars="200"/>
        <w:rPr>
          <w:rFonts w:ascii="仿宋" w:eastAsia="仿宋" w:hAnsi="仿宋"/>
          <w:sz w:val="30"/>
          <w:szCs w:val="30"/>
        </w:rPr>
      </w:pPr>
      <w:r>
        <w:rPr>
          <w:rFonts w:ascii="仿宋" w:eastAsia="仿宋" w:hAnsi="仿宋" w:hint="eastAsia"/>
          <w:sz w:val="30"/>
          <w:szCs w:val="30"/>
        </w:rPr>
        <w:t>建设综合训练场、篮球场、排球场、网球场、乒乓球场，扩大校内运动场地，完善配套器材、设施，为学生体育锻炼、日常活动提供保障。进一步绿化美化校园。</w:t>
      </w:r>
    </w:p>
    <w:p>
      <w:pPr>
        <w:spacing w:line="550" w:lineRule="exact"/>
        <w:ind w:firstLine="588" w:firstLineChars="196"/>
        <w:rPr>
          <w:rFonts w:ascii="楷体" w:eastAsia="楷体" w:hAnsi="楷体" w:cs="楷体"/>
          <w:b/>
          <w:bCs/>
          <w:sz w:val="30"/>
          <w:szCs w:val="30"/>
        </w:rPr>
      </w:pPr>
      <w:bookmarkStart w:id="47" w:name="_Toc21265_WPSOffice_Level2"/>
      <w:r>
        <w:rPr>
          <w:rFonts w:ascii="楷体" w:eastAsia="楷体" w:hAnsi="楷体" w:cs="楷体" w:hint="eastAsia"/>
          <w:b/>
          <w:bCs/>
          <w:sz w:val="30"/>
          <w:szCs w:val="30"/>
        </w:rPr>
        <w:t>（八）完善治理结构，实施现代大学制度建设工程</w:t>
      </w:r>
      <w:bookmarkEnd w:id="47"/>
    </w:p>
    <w:p>
      <w:pPr>
        <w:spacing w:line="550" w:lineRule="exact"/>
        <w:ind w:firstLine="588" w:firstLineChars="196"/>
        <w:rPr>
          <w:rFonts w:ascii="仿宋" w:eastAsia="仿宋" w:hAnsi="仿宋"/>
          <w:sz w:val="30"/>
          <w:szCs w:val="30"/>
        </w:rPr>
      </w:pPr>
      <w:r>
        <w:rPr>
          <w:rFonts w:ascii="仿宋" w:eastAsia="仿宋" w:hAnsi="仿宋"/>
          <w:sz w:val="30"/>
          <w:szCs w:val="30"/>
        </w:rPr>
        <w:t>建立现代大学制度，进一步</w:t>
      </w:r>
      <w:r>
        <w:rPr>
          <w:rFonts w:ascii="仿宋" w:eastAsia="仿宋" w:hAnsi="仿宋" w:hint="eastAsia"/>
          <w:sz w:val="30"/>
          <w:szCs w:val="30"/>
        </w:rPr>
        <w:t>强化法人治理结构</w:t>
      </w:r>
      <w:r>
        <w:rPr>
          <w:rFonts w:ascii="仿宋" w:eastAsia="仿宋" w:hAnsi="仿宋"/>
          <w:sz w:val="30"/>
          <w:szCs w:val="30"/>
        </w:rPr>
        <w:t>和内部管理</w:t>
      </w:r>
      <w:r>
        <w:rPr>
          <w:rFonts w:ascii="仿宋" w:eastAsia="仿宋" w:hAnsi="仿宋" w:hint="eastAsia"/>
          <w:sz w:val="30"/>
          <w:szCs w:val="30"/>
        </w:rPr>
        <w:t>机制</w:t>
      </w:r>
      <w:r>
        <w:rPr>
          <w:rFonts w:ascii="仿宋" w:eastAsia="仿宋" w:hAnsi="仿宋"/>
          <w:sz w:val="30"/>
          <w:szCs w:val="30"/>
        </w:rPr>
        <w:t>。</w:t>
      </w:r>
    </w:p>
    <w:p>
      <w:pPr>
        <w:spacing w:line="550" w:lineRule="exact"/>
        <w:ind w:firstLine="588" w:firstLineChars="196"/>
        <w:rPr>
          <w:rFonts w:ascii="仿宋" w:eastAsia="仿宋" w:hAnsi="仿宋"/>
          <w:sz w:val="30"/>
          <w:szCs w:val="30"/>
        </w:rPr>
      </w:pPr>
      <w:r>
        <w:rPr>
          <w:rFonts w:ascii="仿宋" w:eastAsia="仿宋" w:hAnsi="仿宋"/>
          <w:b/>
          <w:sz w:val="30"/>
          <w:szCs w:val="30"/>
        </w:rPr>
        <w:t>1</w:t>
      </w:r>
      <w:r>
        <w:rPr>
          <w:rFonts w:ascii="仿宋" w:eastAsia="仿宋" w:hAnsi="仿宋" w:hint="eastAsia"/>
          <w:b/>
          <w:sz w:val="30"/>
          <w:szCs w:val="30"/>
        </w:rPr>
        <w:t>.</w:t>
      </w:r>
      <w:r>
        <w:rPr>
          <w:rFonts w:ascii="仿宋" w:eastAsia="仿宋" w:hAnsi="仿宋"/>
          <w:b/>
          <w:sz w:val="30"/>
          <w:szCs w:val="30"/>
        </w:rPr>
        <w:t>坚持民主办学，推进民主治校。</w:t>
      </w:r>
      <w:r>
        <w:rPr>
          <w:rFonts w:ascii="仿宋" w:eastAsia="仿宋" w:hAnsi="仿宋"/>
          <w:sz w:val="30"/>
          <w:szCs w:val="30"/>
        </w:rPr>
        <w:t>充分发挥广大教职员工参与学</w:t>
      </w:r>
      <w:r>
        <w:rPr>
          <w:rFonts w:ascii="仿宋" w:eastAsia="仿宋" w:hAnsi="仿宋" w:hint="eastAsia"/>
          <w:sz w:val="30"/>
          <w:szCs w:val="30"/>
        </w:rPr>
        <w:t>校</w:t>
      </w:r>
      <w:r>
        <w:rPr>
          <w:rFonts w:ascii="仿宋" w:eastAsia="仿宋" w:hAnsi="仿宋"/>
          <w:sz w:val="30"/>
          <w:szCs w:val="30"/>
        </w:rPr>
        <w:t>管理和决策的主人翁作用，努力营造和谐稳定的校园氛围。进一步落实</w:t>
      </w:r>
      <w:r>
        <w:rPr>
          <w:rFonts w:ascii="仿宋" w:eastAsia="仿宋" w:hAnsi="仿宋" w:hint="eastAsia"/>
          <w:sz w:val="30"/>
          <w:szCs w:val="30"/>
        </w:rPr>
        <w:t>校</w:t>
      </w:r>
      <w:r>
        <w:rPr>
          <w:rFonts w:ascii="仿宋" w:eastAsia="仿宋" w:hAnsi="仿宋"/>
          <w:sz w:val="30"/>
          <w:szCs w:val="30"/>
        </w:rPr>
        <w:t>务公开工作，加强审计，完善人、财、物管理的监督机制。</w:t>
      </w:r>
    </w:p>
    <w:p>
      <w:pPr>
        <w:spacing w:line="550" w:lineRule="exact"/>
        <w:ind w:firstLine="588" w:firstLineChars="196"/>
        <w:rPr>
          <w:rFonts w:ascii="仿宋" w:eastAsia="仿宋" w:hAnsi="仿宋"/>
          <w:sz w:val="30"/>
          <w:szCs w:val="30"/>
        </w:rPr>
      </w:pPr>
      <w:r>
        <w:rPr>
          <w:rFonts w:ascii="仿宋" w:eastAsia="仿宋" w:hAnsi="仿宋"/>
          <w:b/>
          <w:sz w:val="30"/>
          <w:szCs w:val="30"/>
        </w:rPr>
        <w:t>2</w:t>
      </w:r>
      <w:r>
        <w:rPr>
          <w:rFonts w:ascii="仿宋" w:eastAsia="仿宋" w:hAnsi="仿宋" w:hint="eastAsia"/>
          <w:b/>
          <w:sz w:val="30"/>
          <w:szCs w:val="30"/>
        </w:rPr>
        <w:t>.完善</w:t>
      </w:r>
      <w:r>
        <w:rPr>
          <w:rFonts w:ascii="仿宋" w:eastAsia="仿宋" w:hAnsi="仿宋"/>
          <w:b/>
          <w:sz w:val="30"/>
          <w:szCs w:val="30"/>
        </w:rPr>
        <w:t>内部管理</w:t>
      </w:r>
      <w:r>
        <w:rPr>
          <w:rFonts w:ascii="仿宋" w:eastAsia="仿宋" w:hAnsi="仿宋" w:hint="eastAsia"/>
          <w:b/>
          <w:sz w:val="30"/>
          <w:szCs w:val="30"/>
        </w:rPr>
        <w:t>模式</w:t>
      </w:r>
      <w:r>
        <w:rPr>
          <w:rFonts w:ascii="仿宋" w:eastAsia="仿宋" w:hAnsi="仿宋"/>
          <w:b/>
          <w:sz w:val="30"/>
          <w:szCs w:val="30"/>
        </w:rPr>
        <w:t>。</w:t>
      </w:r>
      <w:r>
        <w:rPr>
          <w:rFonts w:ascii="仿宋" w:eastAsia="仿宋" w:hAnsi="仿宋"/>
          <w:sz w:val="30"/>
          <w:szCs w:val="30"/>
        </w:rPr>
        <w:t>进一步完善分层管理模式，建立与</w:t>
      </w:r>
      <w:r>
        <w:rPr>
          <w:rFonts w:ascii="仿宋" w:eastAsia="仿宋" w:hAnsi="仿宋" w:hint="eastAsia"/>
          <w:sz w:val="30"/>
          <w:szCs w:val="30"/>
        </w:rPr>
        <w:t>高校</w:t>
      </w:r>
      <w:r>
        <w:rPr>
          <w:rFonts w:ascii="仿宋" w:eastAsia="仿宋" w:hAnsi="仿宋"/>
          <w:sz w:val="30"/>
          <w:szCs w:val="30"/>
        </w:rPr>
        <w:t>要求相适应的管理体制和运行机制，激发校院两级办学活力。进一步理顺校院两级学术管理权职，促进学术民主、强化学术地位，发挥学科带头人和教授在学术权力运作机制中的主体作用。</w:t>
      </w:r>
    </w:p>
    <w:p>
      <w:pPr>
        <w:spacing w:line="550" w:lineRule="exact"/>
        <w:ind w:firstLine="588" w:firstLineChars="196"/>
        <w:rPr>
          <w:rFonts w:ascii="仿宋" w:eastAsia="仿宋" w:hAnsi="仿宋"/>
          <w:sz w:val="30"/>
          <w:szCs w:val="30"/>
        </w:rPr>
      </w:pPr>
      <w:r>
        <w:rPr>
          <w:rFonts w:ascii="仿宋" w:eastAsia="仿宋" w:hAnsi="仿宋"/>
          <w:b/>
          <w:sz w:val="30"/>
          <w:szCs w:val="30"/>
        </w:rPr>
        <w:t>3</w:t>
      </w:r>
      <w:r>
        <w:rPr>
          <w:rFonts w:ascii="仿宋" w:eastAsia="仿宋" w:hAnsi="仿宋" w:hint="eastAsia"/>
          <w:b/>
          <w:sz w:val="30"/>
          <w:szCs w:val="30"/>
        </w:rPr>
        <w:t>.</w:t>
      </w:r>
      <w:r>
        <w:rPr>
          <w:rFonts w:ascii="仿宋" w:eastAsia="仿宋" w:hAnsi="仿宋"/>
          <w:b/>
          <w:sz w:val="30"/>
          <w:szCs w:val="30"/>
        </w:rPr>
        <w:t>推进后勤改革。</w:t>
      </w:r>
      <w:r>
        <w:rPr>
          <w:rFonts w:ascii="仿宋" w:eastAsia="仿宋" w:hAnsi="仿宋"/>
          <w:sz w:val="30"/>
          <w:szCs w:val="30"/>
        </w:rPr>
        <w:t>进一步理顺关系，强化管理，提高办学设施的使用效益，逐步建立与现代大学制度相适应的后勤保障体系。</w:t>
      </w:r>
    </w:p>
    <w:p>
      <w:pPr>
        <w:spacing w:line="550" w:lineRule="exact"/>
        <w:ind w:firstLine="588" w:firstLineChars="196"/>
        <w:rPr>
          <w:rFonts w:ascii="黑体" w:eastAsia="黑体" w:hAnsi="黑体"/>
          <w:sz w:val="30"/>
          <w:szCs w:val="30"/>
        </w:rPr>
      </w:pPr>
      <w:bookmarkStart w:id="48" w:name="_Toc5014_WPSOffice_Level1"/>
      <w:r>
        <w:rPr>
          <w:rFonts w:ascii="黑体" w:eastAsia="黑体" w:hAnsi="黑体"/>
          <w:sz w:val="30"/>
          <w:szCs w:val="30"/>
        </w:rPr>
        <w:t>四、保障措施</w:t>
      </w:r>
      <w:bookmarkEnd w:id="48"/>
    </w:p>
    <w:p>
      <w:pPr>
        <w:spacing w:line="550" w:lineRule="exact"/>
        <w:ind w:firstLine="588" w:firstLineChars="196"/>
        <w:rPr>
          <w:rFonts w:ascii="楷体" w:eastAsia="楷体" w:hAnsi="楷体" w:cs="楷体"/>
          <w:b/>
          <w:bCs/>
          <w:sz w:val="30"/>
          <w:szCs w:val="30"/>
        </w:rPr>
      </w:pPr>
      <w:bookmarkStart w:id="49" w:name="_Toc26308_WPSOffice_Level2"/>
      <w:r>
        <w:rPr>
          <w:rFonts w:ascii="楷体" w:eastAsia="楷体" w:hAnsi="楷体" w:cs="楷体" w:hint="eastAsia"/>
          <w:b/>
          <w:bCs/>
          <w:sz w:val="30"/>
          <w:szCs w:val="30"/>
        </w:rPr>
        <w:t>（一）思想组织保障</w:t>
      </w:r>
      <w:bookmarkEnd w:id="49"/>
    </w:p>
    <w:p>
      <w:pPr>
        <w:spacing w:line="550" w:lineRule="exact"/>
        <w:ind w:firstLine="588" w:firstLineChars="196"/>
        <w:rPr>
          <w:rFonts w:ascii="仿宋" w:eastAsia="仿宋" w:hAnsi="仿宋"/>
          <w:sz w:val="30"/>
          <w:szCs w:val="30"/>
        </w:rPr>
      </w:pPr>
      <w:r>
        <w:rPr>
          <w:rFonts w:ascii="仿宋" w:eastAsia="仿宋" w:hAnsi="仿宋"/>
          <w:b/>
          <w:sz w:val="30"/>
          <w:szCs w:val="30"/>
        </w:rPr>
        <w:t>1</w:t>
      </w:r>
      <w:r>
        <w:rPr>
          <w:rFonts w:ascii="仿宋" w:eastAsia="仿宋" w:hAnsi="仿宋" w:hint="eastAsia"/>
          <w:b/>
          <w:sz w:val="30"/>
          <w:szCs w:val="30"/>
        </w:rPr>
        <w:t>.</w:t>
      </w:r>
      <w:r>
        <w:rPr>
          <w:rFonts w:ascii="仿宋" w:eastAsia="仿宋" w:hAnsi="仿宋"/>
          <w:b/>
          <w:sz w:val="30"/>
          <w:szCs w:val="30"/>
        </w:rPr>
        <w:t>加强思想</w:t>
      </w:r>
      <w:r>
        <w:rPr>
          <w:rFonts w:ascii="仿宋" w:eastAsia="仿宋" w:hAnsi="仿宋" w:hint="eastAsia"/>
          <w:b/>
          <w:sz w:val="30"/>
          <w:szCs w:val="30"/>
        </w:rPr>
        <w:t>政治</w:t>
      </w:r>
      <w:r>
        <w:rPr>
          <w:rFonts w:ascii="仿宋" w:eastAsia="仿宋" w:hAnsi="仿宋"/>
          <w:b/>
          <w:sz w:val="30"/>
          <w:szCs w:val="30"/>
        </w:rPr>
        <w:t>建设。</w:t>
      </w:r>
      <w:r>
        <w:rPr>
          <w:rFonts w:ascii="仿宋" w:eastAsia="仿宋" w:hAnsi="仿宋" w:hint="eastAsia"/>
          <w:sz w:val="30"/>
          <w:szCs w:val="30"/>
        </w:rPr>
        <w:t>加强党的建设，发挥党组织政治核心和战斗堡垒作用，以及党员的先锋模范作用，保证学校办学方向和健康发展；加强思想政治建设，不断提高学校领导班子思想政治素质；</w:t>
      </w:r>
      <w:r>
        <w:rPr>
          <w:rFonts w:ascii="仿宋" w:eastAsia="仿宋" w:hAnsi="仿宋"/>
          <w:sz w:val="30"/>
          <w:szCs w:val="30"/>
        </w:rPr>
        <w:t>进一步加强教职工的思想道德建设，提高教职工的思想政治素质和职业素养</w:t>
      </w:r>
      <w:r>
        <w:rPr>
          <w:rFonts w:ascii="仿宋" w:eastAsia="仿宋" w:hAnsi="仿宋" w:hint="eastAsia"/>
          <w:sz w:val="30"/>
          <w:szCs w:val="30"/>
        </w:rPr>
        <w:t>；</w:t>
      </w:r>
      <w:r>
        <w:rPr>
          <w:rFonts w:ascii="仿宋" w:eastAsia="仿宋" w:hAnsi="仿宋"/>
          <w:sz w:val="30"/>
          <w:szCs w:val="30"/>
        </w:rPr>
        <w:t>进一步加强师德师风建设，坚持德才兼备原则，努力形成严谨治学、敬业爱岗、教书育人的良好师德师风，不断提高教师队伍的整体素质。</w:t>
      </w:r>
    </w:p>
    <w:p>
      <w:pPr>
        <w:spacing w:line="550" w:lineRule="exact"/>
        <w:ind w:firstLine="588" w:firstLineChars="196"/>
        <w:rPr>
          <w:rFonts w:ascii="仿宋" w:eastAsia="仿宋" w:hAnsi="仿宋"/>
          <w:b/>
          <w:sz w:val="30"/>
          <w:szCs w:val="30"/>
        </w:rPr>
      </w:pPr>
      <w:r>
        <w:rPr>
          <w:rFonts w:ascii="仿宋" w:eastAsia="仿宋" w:hAnsi="仿宋" w:hint="eastAsia"/>
          <w:b/>
          <w:sz w:val="30"/>
          <w:szCs w:val="30"/>
        </w:rPr>
        <w:t>2.加强师资队伍建设。</w:t>
      </w:r>
      <w:r>
        <w:rPr>
          <w:rFonts w:ascii="仿宋" w:eastAsia="仿宋" w:hAnsi="仿宋"/>
          <w:sz w:val="30"/>
          <w:szCs w:val="30"/>
        </w:rPr>
        <w:t>通过营造良好的人文氛围</w:t>
      </w:r>
      <w:r>
        <w:rPr>
          <w:rFonts w:ascii="仿宋" w:eastAsia="仿宋" w:hAnsi="仿宋" w:hint="eastAsia"/>
          <w:sz w:val="30"/>
          <w:szCs w:val="30"/>
        </w:rPr>
        <w:t>和薪酬福利制度，</w:t>
      </w:r>
      <w:r>
        <w:rPr>
          <w:rFonts w:ascii="仿宋" w:eastAsia="仿宋" w:hAnsi="仿宋"/>
          <w:sz w:val="30"/>
          <w:szCs w:val="30"/>
        </w:rPr>
        <w:t>利用区域优势、学科优势和丰富的优质教育资源，高标准、高要求抓好师资队伍建设</w:t>
      </w:r>
      <w:r>
        <w:rPr>
          <w:rFonts w:ascii="仿宋" w:eastAsia="仿宋" w:hAnsi="仿宋" w:hint="eastAsia"/>
          <w:sz w:val="30"/>
          <w:szCs w:val="30"/>
        </w:rPr>
        <w:t>；</w:t>
      </w:r>
      <w:r>
        <w:rPr>
          <w:rFonts w:ascii="仿宋" w:eastAsia="仿宋" w:hAnsi="仿宋"/>
          <w:sz w:val="30"/>
          <w:szCs w:val="30"/>
        </w:rPr>
        <w:t>下大力气引进和培养一批领军人才和中青年学科带头人，</w:t>
      </w:r>
      <w:r>
        <w:rPr>
          <w:rFonts w:ascii="仿宋" w:eastAsia="仿宋" w:hAnsi="仿宋" w:hint="eastAsia"/>
          <w:sz w:val="30"/>
          <w:szCs w:val="30"/>
        </w:rPr>
        <w:t>抓好</w:t>
      </w:r>
      <w:r>
        <w:rPr>
          <w:rFonts w:ascii="仿宋" w:eastAsia="仿宋" w:hAnsi="仿宋"/>
          <w:sz w:val="30"/>
          <w:szCs w:val="30"/>
        </w:rPr>
        <w:t>高层次、高素质的教学科研团队</w:t>
      </w:r>
      <w:r>
        <w:rPr>
          <w:rFonts w:ascii="仿宋" w:eastAsia="仿宋" w:hAnsi="仿宋" w:hint="eastAsia"/>
          <w:sz w:val="30"/>
          <w:szCs w:val="30"/>
        </w:rPr>
        <w:t>建设</w:t>
      </w:r>
      <w:r>
        <w:rPr>
          <w:rFonts w:ascii="仿宋" w:eastAsia="仿宋" w:hAnsi="仿宋"/>
          <w:sz w:val="30"/>
          <w:szCs w:val="30"/>
        </w:rPr>
        <w:t>。</w:t>
      </w:r>
    </w:p>
    <w:p>
      <w:pPr>
        <w:spacing w:line="550" w:lineRule="exact"/>
        <w:ind w:firstLine="588" w:firstLineChars="196"/>
        <w:rPr>
          <w:rFonts w:ascii="楷体" w:eastAsia="楷体" w:hAnsi="楷体" w:cs="楷体"/>
          <w:b/>
          <w:bCs/>
          <w:sz w:val="30"/>
          <w:szCs w:val="30"/>
        </w:rPr>
      </w:pPr>
      <w:bookmarkStart w:id="50" w:name="_Toc8155_WPSOffice_Level2"/>
      <w:r>
        <w:rPr>
          <w:rFonts w:ascii="楷体" w:eastAsia="楷体" w:hAnsi="楷体" w:cs="楷体" w:hint="eastAsia"/>
          <w:b/>
          <w:bCs/>
          <w:sz w:val="30"/>
          <w:szCs w:val="30"/>
        </w:rPr>
        <w:t>（二）管理体制保障</w:t>
      </w:r>
      <w:bookmarkEnd w:id="50"/>
    </w:p>
    <w:p>
      <w:pPr>
        <w:spacing w:line="550" w:lineRule="exact"/>
        <w:ind w:firstLine="588" w:firstLineChars="196"/>
        <w:rPr>
          <w:rFonts w:ascii="仿宋" w:eastAsia="仿宋" w:hAnsi="仿宋"/>
          <w:sz w:val="30"/>
          <w:szCs w:val="30"/>
        </w:rPr>
      </w:pPr>
      <w:r>
        <w:rPr>
          <w:rFonts w:ascii="仿宋" w:eastAsia="仿宋" w:hAnsi="仿宋"/>
          <w:sz w:val="30"/>
          <w:szCs w:val="30"/>
        </w:rPr>
        <w:t>“十</w:t>
      </w:r>
      <w:r>
        <w:rPr>
          <w:rFonts w:ascii="仿宋" w:eastAsia="仿宋" w:hAnsi="仿宋" w:hint="eastAsia"/>
          <w:sz w:val="30"/>
          <w:szCs w:val="30"/>
        </w:rPr>
        <w:t>三</w:t>
      </w:r>
      <w:r>
        <w:rPr>
          <w:rFonts w:ascii="仿宋" w:eastAsia="仿宋" w:hAnsi="仿宋"/>
          <w:sz w:val="30"/>
          <w:szCs w:val="30"/>
        </w:rPr>
        <w:t>五”期间，继续深化校内管理制度改革，全面提高学校管理水平，为实现学校的发展目标提供体制保障。</w:t>
      </w:r>
    </w:p>
    <w:p>
      <w:pPr>
        <w:spacing w:line="550" w:lineRule="exact"/>
        <w:ind w:firstLine="588" w:firstLineChars="196"/>
        <w:rPr>
          <w:rFonts w:ascii="仿宋" w:eastAsia="仿宋" w:hAnsi="仿宋"/>
          <w:sz w:val="30"/>
          <w:szCs w:val="30"/>
        </w:rPr>
      </w:pPr>
      <w:r>
        <w:rPr>
          <w:rFonts w:ascii="仿宋" w:eastAsia="仿宋" w:hAnsi="仿宋"/>
          <w:b/>
          <w:sz w:val="30"/>
          <w:szCs w:val="30"/>
        </w:rPr>
        <w:t>1</w:t>
      </w:r>
      <w:r>
        <w:rPr>
          <w:rFonts w:ascii="仿宋" w:eastAsia="仿宋" w:hAnsi="仿宋" w:hint="eastAsia"/>
          <w:b/>
          <w:sz w:val="30"/>
          <w:szCs w:val="30"/>
        </w:rPr>
        <w:t>.</w:t>
      </w:r>
      <w:r>
        <w:rPr>
          <w:rFonts w:ascii="仿宋" w:eastAsia="仿宋" w:hAnsi="仿宋"/>
          <w:b/>
          <w:sz w:val="30"/>
          <w:szCs w:val="30"/>
        </w:rPr>
        <w:t>坚持和完善</w:t>
      </w:r>
      <w:r>
        <w:rPr>
          <w:rFonts w:ascii="仿宋" w:eastAsia="仿宋" w:hAnsi="仿宋" w:hint="eastAsia"/>
          <w:b/>
          <w:sz w:val="30"/>
          <w:szCs w:val="30"/>
        </w:rPr>
        <w:t>董事会</w:t>
      </w:r>
      <w:r>
        <w:rPr>
          <w:rFonts w:ascii="仿宋" w:eastAsia="仿宋" w:hAnsi="仿宋"/>
          <w:b/>
          <w:sz w:val="30"/>
          <w:szCs w:val="30"/>
        </w:rPr>
        <w:t>领导下的</w:t>
      </w:r>
      <w:r>
        <w:rPr>
          <w:rFonts w:ascii="仿宋" w:eastAsia="仿宋" w:hAnsi="仿宋" w:hint="eastAsia"/>
          <w:b/>
          <w:sz w:val="30"/>
          <w:szCs w:val="30"/>
        </w:rPr>
        <w:t>校长</w:t>
      </w:r>
      <w:r>
        <w:rPr>
          <w:rFonts w:ascii="仿宋" w:eastAsia="仿宋" w:hAnsi="仿宋"/>
          <w:b/>
          <w:sz w:val="30"/>
          <w:szCs w:val="30"/>
        </w:rPr>
        <w:t>负责制。</w:t>
      </w:r>
      <w:r>
        <w:rPr>
          <w:rFonts w:ascii="仿宋" w:eastAsia="仿宋" w:hAnsi="仿宋" w:hint="eastAsia"/>
          <w:sz w:val="30"/>
          <w:szCs w:val="30"/>
        </w:rPr>
        <w:t>校长</w:t>
      </w:r>
      <w:r>
        <w:rPr>
          <w:rFonts w:ascii="仿宋" w:eastAsia="仿宋" w:hAnsi="仿宋"/>
          <w:sz w:val="30"/>
          <w:szCs w:val="30"/>
        </w:rPr>
        <w:t>在</w:t>
      </w:r>
      <w:r>
        <w:rPr>
          <w:rFonts w:ascii="仿宋" w:eastAsia="仿宋" w:hAnsi="仿宋" w:hint="eastAsia"/>
          <w:sz w:val="30"/>
          <w:szCs w:val="30"/>
        </w:rPr>
        <w:t>董事会</w:t>
      </w:r>
      <w:r>
        <w:rPr>
          <w:rFonts w:ascii="仿宋" w:eastAsia="仿宋" w:hAnsi="仿宋"/>
          <w:sz w:val="30"/>
          <w:szCs w:val="30"/>
        </w:rPr>
        <w:t>的领导下，依法独立负责地行使职权，全面负责学校教学科研和其他行政管理工作。</w:t>
      </w:r>
    </w:p>
    <w:p>
      <w:pPr>
        <w:spacing w:line="550" w:lineRule="exact"/>
        <w:ind w:firstLine="588" w:firstLineChars="196"/>
        <w:rPr>
          <w:rFonts w:ascii="仿宋" w:eastAsia="仿宋" w:hAnsi="仿宋"/>
          <w:sz w:val="30"/>
          <w:szCs w:val="30"/>
        </w:rPr>
      </w:pPr>
      <w:r>
        <w:rPr>
          <w:rFonts w:ascii="仿宋" w:eastAsia="仿宋" w:hAnsi="仿宋"/>
          <w:b/>
          <w:sz w:val="30"/>
          <w:szCs w:val="30"/>
        </w:rPr>
        <w:t>2</w:t>
      </w:r>
      <w:r>
        <w:rPr>
          <w:rFonts w:ascii="仿宋" w:eastAsia="仿宋" w:hAnsi="仿宋" w:hint="eastAsia"/>
          <w:b/>
          <w:sz w:val="30"/>
          <w:szCs w:val="30"/>
        </w:rPr>
        <w:t>.</w:t>
      </w:r>
      <w:r>
        <w:rPr>
          <w:rFonts w:ascii="仿宋" w:eastAsia="仿宋" w:hAnsi="仿宋"/>
          <w:b/>
          <w:sz w:val="30"/>
          <w:szCs w:val="30"/>
        </w:rPr>
        <w:t>建立健全管理激励机制。</w:t>
      </w:r>
      <w:r>
        <w:rPr>
          <w:rFonts w:ascii="仿宋" w:eastAsia="仿宋" w:hAnsi="仿宋"/>
          <w:sz w:val="30"/>
          <w:szCs w:val="30"/>
        </w:rPr>
        <w:t>继续深化人事、分配制度改革，完善岗位聘任制，对不同学科领域人员实行分类考核，加大业绩考核与奖惩力度，以绩效考核为导向，进一步完善内部分配激励机制和干部人事考核聘任制度，加强检查监督，实施配套管理。对考核不合格人员实施低聘、缓聘、待聘、解聘，合理分流。</w:t>
      </w:r>
    </w:p>
    <w:p>
      <w:pPr>
        <w:spacing w:line="550" w:lineRule="exact"/>
        <w:ind w:firstLine="588" w:firstLineChars="196"/>
        <w:rPr>
          <w:rFonts w:ascii="楷体" w:eastAsia="楷体" w:hAnsi="楷体" w:cs="楷体"/>
          <w:b/>
          <w:bCs/>
          <w:sz w:val="30"/>
          <w:szCs w:val="30"/>
        </w:rPr>
      </w:pPr>
      <w:bookmarkStart w:id="51" w:name="_Toc11830_WPSOffice_Level2"/>
      <w:r>
        <w:rPr>
          <w:rFonts w:ascii="楷体" w:eastAsia="楷体" w:hAnsi="楷体" w:cs="楷体" w:hint="eastAsia"/>
          <w:b/>
          <w:bCs/>
          <w:sz w:val="30"/>
          <w:szCs w:val="30"/>
        </w:rPr>
        <w:t>（三）基础建设与后勤保障</w:t>
      </w:r>
      <w:bookmarkEnd w:id="51"/>
    </w:p>
    <w:p>
      <w:pPr>
        <w:spacing w:line="550" w:lineRule="exact"/>
        <w:ind w:firstLine="588" w:firstLineChars="196"/>
        <w:rPr>
          <w:rFonts w:ascii="仿宋" w:eastAsia="仿宋" w:hAnsi="仿宋"/>
          <w:sz w:val="30"/>
          <w:szCs w:val="30"/>
        </w:rPr>
        <w:sectPr>
          <w:footerReference w:type="even" r:id="rId15"/>
          <w:footerReference w:type="default" r:id="rId16"/>
          <w:pgSz w:w="11906" w:h="16838"/>
          <w:pgMar w:top="1440" w:right="1463" w:bottom="1440" w:left="1463" w:header="851" w:footer="992" w:gutter="0"/>
          <w:pgNumType w:start="10"/>
          <w:cols w:space="708"/>
          <w:docGrid w:type="linesAndChars" w:linePitch="312" w:charSpace="0"/>
        </w:sectPr>
      </w:pPr>
      <w:r>
        <w:rPr>
          <w:rFonts w:ascii="仿宋" w:eastAsia="仿宋" w:hAnsi="仿宋"/>
          <w:sz w:val="30"/>
          <w:szCs w:val="30"/>
        </w:rPr>
        <w:t>“十</w:t>
      </w:r>
      <w:r>
        <w:rPr>
          <w:rFonts w:ascii="仿宋" w:eastAsia="仿宋" w:hAnsi="仿宋" w:hint="eastAsia"/>
          <w:sz w:val="30"/>
          <w:szCs w:val="30"/>
        </w:rPr>
        <w:t>三</w:t>
      </w:r>
      <w:r>
        <w:rPr>
          <w:rFonts w:ascii="仿宋" w:eastAsia="仿宋" w:hAnsi="仿宋"/>
          <w:sz w:val="30"/>
          <w:szCs w:val="30"/>
        </w:rPr>
        <w:t>五”期间，要</w:t>
      </w:r>
      <w:r>
        <w:rPr>
          <w:rFonts w:ascii="仿宋" w:eastAsia="仿宋" w:hAnsi="仿宋" w:hint="eastAsia"/>
          <w:sz w:val="30"/>
          <w:szCs w:val="30"/>
        </w:rPr>
        <w:t>加强基础条件建设，</w:t>
      </w:r>
      <w:r>
        <w:rPr>
          <w:rFonts w:ascii="仿宋" w:eastAsia="仿宋" w:hAnsi="仿宋"/>
          <w:sz w:val="30"/>
          <w:szCs w:val="30"/>
        </w:rPr>
        <w:t>有效组织和动员各方面力量，服务于学校的教学改革、科学研究和人才培养，为学校的</w:t>
      </w:r>
    </w:p>
    <w:p>
      <w:pPr>
        <w:spacing w:line="550" w:lineRule="exact"/>
        <w:ind w:firstLine="588" w:firstLineChars="196"/>
        <w:rPr>
          <w:rFonts w:ascii="仿宋" w:eastAsia="仿宋" w:hAnsi="仿宋"/>
          <w:sz w:val="30"/>
          <w:szCs w:val="30"/>
        </w:rPr>
      </w:pPr>
      <w:r>
        <w:rPr>
          <w:rFonts w:ascii="仿宋" w:eastAsia="仿宋" w:hAnsi="仿宋"/>
          <w:sz w:val="30"/>
          <w:szCs w:val="30"/>
        </w:rPr>
        <w:t>发展提供优质服务保障，以促进学校发展目标的顺利实现。</w:t>
      </w:r>
    </w:p>
    <w:p>
      <w:pPr>
        <w:spacing w:line="550" w:lineRule="exact"/>
        <w:ind w:firstLine="588" w:firstLineChars="196"/>
        <w:rPr>
          <w:rFonts w:ascii="仿宋" w:eastAsia="仿宋" w:hAnsi="仿宋"/>
          <w:sz w:val="30"/>
          <w:szCs w:val="30"/>
        </w:rPr>
      </w:pPr>
      <w:r>
        <w:rPr>
          <w:rFonts w:ascii="仿宋" w:eastAsia="仿宋" w:hAnsi="仿宋"/>
          <w:b/>
          <w:sz w:val="30"/>
          <w:szCs w:val="30"/>
        </w:rPr>
        <w:t>1</w:t>
      </w:r>
      <w:r>
        <w:rPr>
          <w:rFonts w:ascii="仿宋" w:eastAsia="仿宋" w:hAnsi="仿宋" w:hint="eastAsia"/>
          <w:b/>
          <w:sz w:val="30"/>
          <w:szCs w:val="30"/>
        </w:rPr>
        <w:t>.</w:t>
      </w:r>
      <w:r>
        <w:rPr>
          <w:rFonts w:ascii="仿宋" w:eastAsia="仿宋" w:hAnsi="仿宋"/>
          <w:b/>
          <w:sz w:val="30"/>
          <w:szCs w:val="30"/>
        </w:rPr>
        <w:t>优化资金配置。</w:t>
      </w:r>
      <w:r>
        <w:rPr>
          <w:rFonts w:ascii="仿宋" w:eastAsia="仿宋" w:hAnsi="仿宋" w:hint="eastAsia"/>
          <w:sz w:val="30"/>
          <w:szCs w:val="30"/>
        </w:rPr>
        <w:t>进一步加大教学设备投入，</w:t>
      </w:r>
      <w:r>
        <w:rPr>
          <w:rFonts w:ascii="仿宋" w:eastAsia="仿宋" w:hAnsi="仿宋"/>
          <w:sz w:val="30"/>
          <w:szCs w:val="30"/>
        </w:rPr>
        <w:t>确保各项建设资金到位。开源节流，优化资源配置。逐步推行绩效预算，确保重点投入，完善项目经费管理办法，进一步提高办学资源的利用效率。着力提高对财务运行趋势的预测分析水平，推进稳健理财，丰富服务内涵。</w:t>
      </w:r>
    </w:p>
    <w:p>
      <w:pPr>
        <w:spacing w:line="550" w:lineRule="exact"/>
        <w:ind w:firstLine="588" w:firstLineChars="196"/>
        <w:rPr>
          <w:rFonts w:ascii="仿宋" w:eastAsia="仿宋" w:hAnsi="仿宋"/>
          <w:sz w:val="30"/>
          <w:szCs w:val="30"/>
        </w:rPr>
      </w:pPr>
      <w:r>
        <w:rPr>
          <w:rFonts w:ascii="仿宋" w:eastAsia="仿宋" w:hAnsi="仿宋"/>
          <w:b/>
          <w:sz w:val="30"/>
          <w:szCs w:val="30"/>
        </w:rPr>
        <w:t>2</w:t>
      </w:r>
      <w:r>
        <w:rPr>
          <w:rFonts w:ascii="仿宋" w:eastAsia="仿宋" w:hAnsi="仿宋" w:hint="eastAsia"/>
          <w:b/>
          <w:sz w:val="30"/>
          <w:szCs w:val="30"/>
        </w:rPr>
        <w:t>.</w:t>
      </w:r>
      <w:r>
        <w:rPr>
          <w:rFonts w:ascii="仿宋" w:eastAsia="仿宋" w:hAnsi="仿宋"/>
          <w:b/>
          <w:sz w:val="30"/>
          <w:szCs w:val="30"/>
        </w:rPr>
        <w:t>建设信息化、数字化校园。</w:t>
      </w:r>
      <w:r>
        <w:rPr>
          <w:rFonts w:ascii="仿宋" w:eastAsia="仿宋" w:hAnsi="仿宋"/>
          <w:sz w:val="30"/>
          <w:szCs w:val="30"/>
        </w:rPr>
        <w:t>加强基础信息资源建设，</w:t>
      </w:r>
      <w:r>
        <w:rPr>
          <w:rFonts w:ascii="仿宋" w:eastAsia="仿宋" w:hAnsi="仿宋" w:hint="eastAsia"/>
          <w:sz w:val="30"/>
          <w:szCs w:val="30"/>
        </w:rPr>
        <w:t>加强</w:t>
      </w:r>
      <w:r>
        <w:rPr>
          <w:rFonts w:ascii="仿宋" w:eastAsia="仿宋" w:hAnsi="仿宋"/>
          <w:sz w:val="30"/>
          <w:szCs w:val="30"/>
        </w:rPr>
        <w:t>图书馆数字化</w:t>
      </w:r>
      <w:r>
        <w:rPr>
          <w:rFonts w:ascii="仿宋" w:eastAsia="仿宋" w:hAnsi="仿宋" w:hint="eastAsia"/>
          <w:sz w:val="30"/>
          <w:szCs w:val="30"/>
        </w:rPr>
        <w:t>建设</w:t>
      </w:r>
      <w:r>
        <w:rPr>
          <w:rFonts w:ascii="仿宋" w:eastAsia="仿宋" w:hAnsi="仿宋"/>
          <w:sz w:val="30"/>
          <w:szCs w:val="30"/>
        </w:rPr>
        <w:t>、课程资源建设</w:t>
      </w:r>
      <w:r>
        <w:rPr>
          <w:rFonts w:ascii="仿宋" w:eastAsia="仿宋" w:hAnsi="仿宋" w:hint="eastAsia"/>
          <w:sz w:val="30"/>
          <w:szCs w:val="30"/>
        </w:rPr>
        <w:t>、智慧校园建设</w:t>
      </w:r>
      <w:r>
        <w:rPr>
          <w:rFonts w:ascii="仿宋" w:eastAsia="仿宋" w:hAnsi="仿宋"/>
          <w:sz w:val="30"/>
          <w:szCs w:val="30"/>
        </w:rPr>
        <w:t>，提升校园信息化水平。</w:t>
      </w:r>
    </w:p>
    <w:p>
      <w:pPr>
        <w:spacing w:line="550" w:lineRule="exact"/>
        <w:ind w:firstLine="588" w:firstLineChars="196"/>
        <w:rPr>
          <w:rFonts w:ascii="仿宋" w:eastAsia="仿宋" w:hAnsi="仿宋"/>
          <w:sz w:val="30"/>
          <w:szCs w:val="30"/>
        </w:rPr>
      </w:pPr>
      <w:r>
        <w:rPr>
          <w:rFonts w:ascii="仿宋" w:eastAsia="仿宋" w:hAnsi="仿宋" w:hint="eastAsia"/>
          <w:b/>
          <w:sz w:val="30"/>
          <w:szCs w:val="30"/>
        </w:rPr>
        <w:t>3.</w:t>
      </w:r>
      <w:r>
        <w:rPr>
          <w:rFonts w:ascii="仿宋" w:eastAsia="仿宋" w:hAnsi="仿宋"/>
          <w:b/>
          <w:sz w:val="30"/>
          <w:szCs w:val="30"/>
        </w:rPr>
        <w:t>健全后勤服务工作体系。</w:t>
      </w:r>
      <w:r>
        <w:rPr>
          <w:rFonts w:ascii="仿宋_GB2312" w:eastAsia="仿宋_GB2312" w:hAnsi="微软雅黑" w:cs="宋体" w:hint="eastAsia"/>
          <w:kern w:val="0"/>
          <w:sz w:val="30"/>
          <w:szCs w:val="30"/>
        </w:rPr>
        <w:t>加强资产调配、后勤服务、卫生防疫、综合治理等工作，推进各项工作的和谐稳定发展。</w:t>
      </w:r>
    </w:p>
    <w:p>
      <w:pPr>
        <w:spacing w:line="550" w:lineRule="exact"/>
        <w:ind w:firstLine="588" w:firstLineChars="196"/>
        <w:rPr>
          <w:rFonts w:ascii="楷体" w:eastAsia="楷体" w:hAnsi="楷体" w:cs="楷体"/>
          <w:b/>
          <w:bCs/>
          <w:sz w:val="30"/>
          <w:szCs w:val="30"/>
        </w:rPr>
      </w:pPr>
      <w:bookmarkStart w:id="52" w:name="_Toc21428_WPSOffice_Level2"/>
      <w:r>
        <w:rPr>
          <w:rFonts w:ascii="楷体" w:eastAsia="楷体" w:hAnsi="楷体" w:cs="楷体" w:hint="eastAsia"/>
          <w:b/>
          <w:bCs/>
          <w:sz w:val="30"/>
          <w:szCs w:val="30"/>
        </w:rPr>
        <w:t>（四）强化实施</w:t>
      </w:r>
      <w:bookmarkEnd w:id="52"/>
    </w:p>
    <w:p>
      <w:pPr>
        <w:spacing w:line="550" w:lineRule="exact"/>
        <w:ind w:firstLine="588" w:firstLineChars="196"/>
        <w:rPr>
          <w:rFonts w:ascii="黑体" w:eastAsia="黑体" w:hAnsi="黑体"/>
          <w:sz w:val="30"/>
          <w:szCs w:val="30"/>
        </w:rPr>
      </w:pPr>
      <w:r>
        <w:rPr>
          <w:rFonts w:ascii="仿宋_GB2312" w:eastAsia="仿宋_GB2312" w:hAnsi="微软雅黑" w:cs="宋体" w:hint="eastAsia"/>
          <w:kern w:val="0"/>
          <w:sz w:val="30"/>
          <w:szCs w:val="30"/>
        </w:rPr>
        <w:t>坚持</w:t>
      </w:r>
      <w:r>
        <w:rPr>
          <w:rFonts w:ascii="仿宋_GB2312" w:eastAsia="仿宋_GB2312" w:hAnsi="微软雅黑" w:cs="宋体" w:hint="eastAsia"/>
          <w:kern w:val="0"/>
          <w:sz w:val="30"/>
          <w:szCs w:val="30"/>
        </w:rPr>
        <w:t>“</w:t>
      </w:r>
      <w:r>
        <w:rPr>
          <w:rFonts w:ascii="仿宋_GB2312" w:eastAsia="仿宋_GB2312" w:hAnsi="微软雅黑" w:cs="宋体" w:hint="eastAsia"/>
          <w:kern w:val="0"/>
          <w:sz w:val="30"/>
          <w:szCs w:val="30"/>
        </w:rPr>
        <w:t>整体规划、分段实施、动态管理、及时完善</w:t>
      </w:r>
      <w:r>
        <w:rPr>
          <w:rFonts w:ascii="仿宋_GB2312" w:eastAsia="仿宋_GB2312" w:hAnsi="微软雅黑" w:cs="宋体" w:hint="eastAsia"/>
          <w:kern w:val="0"/>
          <w:sz w:val="30"/>
          <w:szCs w:val="30"/>
        </w:rPr>
        <w:t>”</w:t>
      </w:r>
      <w:r>
        <w:rPr>
          <w:rFonts w:ascii="仿宋_GB2312" w:eastAsia="仿宋_GB2312" w:hAnsi="微软雅黑" w:cs="宋体" w:hint="eastAsia"/>
          <w:kern w:val="0"/>
          <w:sz w:val="30"/>
          <w:szCs w:val="30"/>
        </w:rPr>
        <w:t>的原则，加强任务分解，明确责任分工，实行规划落实问责制，建立规划实施信息实时反馈系统。实施目标考核，重点考核规划中关键发展目标的完成情况。加强</w:t>
      </w:r>
      <w:r>
        <w:rPr>
          <w:rFonts w:ascii="仿宋_GB2312" w:eastAsia="仿宋_GB2312" w:hAnsi="微软雅黑" w:cs="宋体" w:hint="eastAsia"/>
          <w:kern w:val="0"/>
          <w:sz w:val="30"/>
          <w:szCs w:val="30"/>
        </w:rPr>
        <w:t>“</w:t>
      </w:r>
      <w:r>
        <w:rPr>
          <w:rFonts w:ascii="仿宋_GB2312" w:eastAsia="仿宋_GB2312" w:hAnsi="微软雅黑" w:cs="宋体" w:hint="eastAsia"/>
          <w:kern w:val="0"/>
          <w:sz w:val="30"/>
          <w:szCs w:val="30"/>
        </w:rPr>
        <w:t>十三五规划</w:t>
      </w:r>
      <w:r>
        <w:rPr>
          <w:rFonts w:ascii="仿宋_GB2312" w:eastAsia="仿宋_GB2312" w:hAnsi="微软雅黑" w:cs="宋体" w:hint="eastAsia"/>
          <w:kern w:val="0"/>
          <w:sz w:val="30"/>
          <w:szCs w:val="30"/>
        </w:rPr>
        <w:t>”</w:t>
      </w:r>
      <w:r>
        <w:rPr>
          <w:rFonts w:ascii="仿宋_GB2312" w:eastAsia="仿宋_GB2312" w:hAnsi="微软雅黑" w:cs="宋体" w:hint="eastAsia"/>
          <w:kern w:val="0"/>
          <w:sz w:val="30"/>
          <w:szCs w:val="30"/>
        </w:rPr>
        <w:t>的宣传工作，及时总结经验，引导全校师生员工积极支持和参与学校建设与发展工作。</w:t>
      </w:r>
    </w:p>
    <w:p>
      <w:pPr>
        <w:spacing w:line="520" w:lineRule="exact"/>
        <w:ind w:firstLine="588" w:firstLineChars="196"/>
        <w:rPr>
          <w:rFonts w:ascii="黑体" w:eastAsia="黑体" w:hAnsi="黑体"/>
          <w:sz w:val="30"/>
          <w:szCs w:val="30"/>
        </w:rPr>
      </w:pPr>
    </w:p>
    <w:p>
      <w:pPr>
        <w:spacing w:line="520" w:lineRule="exact"/>
        <w:ind w:firstLine="588" w:firstLineChars="196"/>
        <w:rPr>
          <w:rFonts w:ascii="仿宋" w:eastAsia="仿宋" w:hAnsi="仿宋"/>
          <w:sz w:val="30"/>
          <w:szCs w:val="30"/>
        </w:rPr>
        <w:sectPr>
          <w:footerReference w:type="even" r:id="rId17"/>
          <w:footerReference w:type="default" r:id="rId18"/>
          <w:pgSz w:w="11906" w:h="16838"/>
          <w:pgMar w:top="1440" w:right="1463" w:bottom="1440" w:left="1463" w:header="851" w:footer="992" w:gutter="0"/>
          <w:pgNumType w:start="16"/>
          <w:cols w:space="708"/>
          <w:docGrid w:type="linesAndChars" w:linePitch="312" w:charSpace="0"/>
        </w:sectPr>
      </w:pPr>
    </w:p>
    <w:p>
      <w:pPr>
        <w:spacing w:line="520" w:lineRule="exact"/>
        <w:ind w:firstLine="588" w:firstLineChars="196"/>
        <w:rPr>
          <w:rFonts w:ascii="仿宋" w:eastAsia="仿宋" w:hAnsi="仿宋"/>
          <w:sz w:val="30"/>
          <w:szCs w:val="30"/>
        </w:rPr>
      </w:pPr>
    </w:p>
    <w:p>
      <w:pPr>
        <w:spacing w:line="360" w:lineRule="auto"/>
        <w:ind w:firstLine="220" w:firstLineChars="100"/>
        <w:rPr>
          <w:rFonts w:ascii="方正黄草简体" w:eastAsia="方正黄草简体"/>
          <w:sz w:val="44"/>
          <w:szCs w:val="44"/>
        </w:rPr>
      </w:pPr>
      <w:r>
        <w:pict>
          <v:shape id="图片 3" o:spid="_x0000_s1028" type="#_x0000_t75" alt="说明: H:\合格评估\河北科技学院合格评估院长报告、领导致辞\校徽1.png" style="width:78.65pt;height:68.2pt;margin-top:31.75pt;margin-left:29pt;mso-wrap-distance-left:5.65pt;mso-wrap-distance-right:2.85pt;position:absolute;z-index:251661312" o:preferrelative="t" filled="f" stroked="f">
            <v:fill o:detectmouseclick="t"/>
            <v:imagedata r:id="rId10" o:title="说明: H:\合格评估\河北科技学院合格评估院长报告、领导致辞\校徽1.png"/>
            <v:path o:extrusionok="f"/>
            <o:lock v:ext="edit" aspectratio="t"/>
            <w10:wrap type="square"/>
          </v:shape>
        </w:pict>
      </w:r>
    </w:p>
    <w:p>
      <w:pPr>
        <w:spacing w:line="360" w:lineRule="auto"/>
        <w:rPr>
          <w:rFonts w:ascii="方正黄草简体" w:eastAsia="方正黄草简体"/>
          <w:sz w:val="52"/>
          <w:szCs w:val="52"/>
        </w:rPr>
      </w:pPr>
      <w:r>
        <w:rPr>
          <w:rFonts w:ascii="方正黄草简体" w:eastAsia="方正黄草简体" w:hint="eastAsia"/>
          <w:sz w:val="52"/>
          <w:szCs w:val="52"/>
        </w:rPr>
        <w:t>河北科技学院</w:t>
      </w:r>
    </w:p>
    <w:p>
      <w:pPr>
        <w:spacing w:line="360" w:lineRule="auto"/>
        <w:rPr>
          <w:rFonts w:ascii="宋体" w:hAnsi="宋体"/>
          <w:b/>
          <w:sz w:val="52"/>
          <w:szCs w:val="52"/>
        </w:rPr>
      </w:pPr>
    </w:p>
    <w:p>
      <w:pPr>
        <w:spacing w:line="360" w:lineRule="auto"/>
        <w:rPr>
          <w:rFonts w:ascii="宋体" w:hAnsi="宋体"/>
          <w:b/>
          <w:sz w:val="52"/>
          <w:szCs w:val="52"/>
        </w:rPr>
      </w:pPr>
    </w:p>
    <w:p>
      <w:pPr>
        <w:spacing w:line="360" w:lineRule="auto"/>
        <w:jc w:val="center"/>
        <w:rPr>
          <w:rFonts w:ascii="微软雅黑" w:eastAsia="微软雅黑" w:hAnsi="微软雅黑"/>
          <w:b/>
          <w:sz w:val="52"/>
          <w:szCs w:val="52"/>
        </w:rPr>
      </w:pPr>
      <w:r>
        <w:rPr>
          <w:rFonts w:ascii="微软雅黑" w:eastAsia="微软雅黑" w:hAnsi="微软雅黑" w:hint="eastAsia"/>
          <w:b/>
          <w:sz w:val="52"/>
          <w:szCs w:val="52"/>
        </w:rPr>
        <w:t>“</w:t>
      </w:r>
      <w:r>
        <w:rPr>
          <w:rFonts w:ascii="微软雅黑" w:eastAsia="微软雅黑" w:hAnsi="微软雅黑" w:hint="eastAsia"/>
          <w:b/>
          <w:sz w:val="52"/>
          <w:szCs w:val="52"/>
        </w:rPr>
        <w:t>十三五</w:t>
      </w:r>
      <w:r>
        <w:rPr>
          <w:rFonts w:ascii="微软雅黑" w:eastAsia="微软雅黑" w:hAnsi="微软雅黑" w:hint="eastAsia"/>
          <w:b/>
          <w:sz w:val="52"/>
          <w:szCs w:val="52"/>
        </w:rPr>
        <w:t>”</w:t>
      </w:r>
      <w:r>
        <w:rPr>
          <w:rFonts w:ascii="微软雅黑" w:eastAsia="微软雅黑" w:hAnsi="微软雅黑" w:hint="eastAsia"/>
          <w:b/>
          <w:sz w:val="52"/>
          <w:szCs w:val="52"/>
        </w:rPr>
        <w:t>学科专业建设规划</w:t>
      </w:r>
    </w:p>
    <w:p>
      <w:pPr>
        <w:ind w:left="2"/>
        <w:jc w:val="center"/>
        <w:rPr>
          <w:sz w:val="52"/>
          <w:szCs w:val="52"/>
        </w:rPr>
      </w:pPr>
      <w:r>
        <w:rPr>
          <w:rFonts w:hAnsi="宋体"/>
          <w:sz w:val="52"/>
          <w:szCs w:val="52"/>
        </w:rPr>
        <w:t>（</w:t>
      </w:r>
      <w:r>
        <w:rPr>
          <w:sz w:val="52"/>
          <w:szCs w:val="52"/>
        </w:rPr>
        <w:t>2016-2020</w:t>
      </w:r>
      <w:r>
        <w:rPr>
          <w:rFonts w:hAnsi="宋体" w:hint="eastAsia"/>
          <w:sz w:val="52"/>
          <w:szCs w:val="52"/>
        </w:rPr>
        <w:t>）</w:t>
      </w: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480" w:lineRule="exact"/>
        <w:jc w:val="center"/>
        <w:rPr>
          <w:rFonts w:ascii="仿宋_GB2312" w:eastAsia="仿宋_GB2312" w:cs="仿宋_GB2312"/>
          <w:b/>
          <w:sz w:val="36"/>
          <w:szCs w:val="36"/>
        </w:rPr>
        <w:sectPr>
          <w:headerReference w:type="even" r:id="rId19"/>
          <w:footerReference w:type="default" r:id="rId20"/>
          <w:pgSz w:w="11906" w:h="16838"/>
          <w:pgMar w:top="1440" w:right="1463" w:bottom="1440" w:left="1463" w:header="851" w:footer="992" w:gutter="0"/>
          <w:cols w:space="708"/>
          <w:docGrid w:type="linesAndChars" w:linePitch="312" w:charSpace="0"/>
        </w:sectPr>
      </w:pPr>
      <w:r>
        <w:rPr>
          <w:rFonts w:ascii="仿宋_GB2312" w:eastAsia="仿宋_GB2312" w:cs="仿宋_GB2312" w:hint="eastAsia"/>
          <w:b/>
          <w:sz w:val="36"/>
          <w:szCs w:val="36"/>
        </w:rPr>
        <w:t>学科专业建设规划组</w:t>
      </w:r>
    </w:p>
    <w:p>
      <w:pPr>
        <w:spacing w:line="480" w:lineRule="exact"/>
        <w:jc w:val="center"/>
        <w:rPr>
          <w:rFonts w:ascii="仿宋_GB2312" w:eastAsia="仿宋_GB2312" w:cs="仿宋_GB2312"/>
          <w:b/>
          <w:sz w:val="36"/>
          <w:szCs w:val="36"/>
        </w:rPr>
      </w:pPr>
    </w:p>
    <w:p>
      <w:pPr>
        <w:spacing w:line="480" w:lineRule="exact"/>
        <w:jc w:val="center"/>
        <w:rPr>
          <w:b/>
          <w:bCs/>
          <w:sz w:val="36"/>
          <w:szCs w:val="36"/>
        </w:rPr>
      </w:pPr>
      <w:bookmarkStart w:id="53" w:name="_Toc23151_WPSOffice_Type3"/>
      <w:r>
        <w:rPr>
          <w:rFonts w:ascii="宋体" w:eastAsia="宋体" w:hAnsi="宋体"/>
          <w:b/>
          <w:bCs/>
          <w:sz w:val="36"/>
          <w:szCs w:val="36"/>
        </w:rPr>
        <w:t>目</w:t>
      </w:r>
      <w:r>
        <w:rPr>
          <w:rFonts w:ascii="宋体" w:eastAsia="宋体" w:hAnsi="宋体" w:hint="eastAsia"/>
          <w:b/>
          <w:bCs/>
          <w:sz w:val="36"/>
          <w:szCs w:val="36"/>
        </w:rPr>
        <w:t xml:space="preserve">  </w:t>
      </w:r>
      <w:r>
        <w:rPr>
          <w:rFonts w:ascii="宋体" w:eastAsia="宋体" w:hAnsi="宋体"/>
          <w:b/>
          <w:bCs/>
          <w:sz w:val="36"/>
          <w:szCs w:val="36"/>
        </w:rPr>
        <w:t>录</w:t>
      </w:r>
    </w:p>
    <w:p>
      <w:pPr>
        <w:pStyle w:val="WPSOffice1"/>
        <w:tabs>
          <w:tab w:val="right" w:leader="dot" w:pos="8980"/>
        </w:tabs>
        <w:spacing w:line="340" w:lineRule="exact"/>
        <w:rPr>
          <w:sz w:val="22"/>
          <w:szCs w:val="22"/>
        </w:rPr>
      </w:pPr>
    </w:p>
    <w:p>
      <w:pPr>
        <w:pStyle w:val="WPSOffice1"/>
        <w:tabs>
          <w:tab w:val="right" w:leader="dot" w:pos="8980"/>
        </w:tabs>
        <w:spacing w:line="340" w:lineRule="exact"/>
        <w:rPr>
          <w:sz w:val="28"/>
          <w:szCs w:val="28"/>
        </w:rPr>
      </w:pPr>
      <w:hyperlink w:anchor="_Toc29847_WPSOffice_Level1" w:history="1">
        <w:r>
          <w:rPr>
            <w:rFonts w:ascii="黑体" w:eastAsia="黑体" w:hAnsi="黑体" w:cs="黑体" w:hint="eastAsia"/>
            <w:sz w:val="28"/>
            <w:szCs w:val="28"/>
          </w:rPr>
          <w:t>一、发展基础</w:t>
        </w:r>
        <w:r>
          <w:rPr>
            <w:sz w:val="28"/>
            <w:szCs w:val="28"/>
          </w:rPr>
          <w:tab/>
        </w:r>
      </w:hyperlink>
      <w:r>
        <w:rPr>
          <w:rFonts w:hint="eastAsia"/>
          <w:sz w:val="28"/>
          <w:szCs w:val="28"/>
        </w:rPr>
        <w:t>17</w:t>
      </w:r>
    </w:p>
    <w:p>
      <w:pPr>
        <w:pStyle w:val="WPSOffice2"/>
        <w:tabs>
          <w:tab w:val="right" w:leader="dot" w:pos="8980"/>
        </w:tabs>
        <w:spacing w:line="340" w:lineRule="exact"/>
        <w:ind w:left="420"/>
        <w:rPr>
          <w:sz w:val="28"/>
          <w:szCs w:val="28"/>
        </w:rPr>
      </w:pPr>
      <w:hyperlink w:anchor="_Toc23151_WPSOffice_Level2" w:history="1">
        <w:r>
          <w:rPr>
            <w:rFonts w:ascii="楷体" w:eastAsia="楷体" w:hAnsi="楷体" w:cs="楷体" w:hint="eastAsia"/>
            <w:sz w:val="28"/>
            <w:szCs w:val="28"/>
          </w:rPr>
          <w:t>（一）发展现状</w:t>
        </w:r>
        <w:r>
          <w:rPr>
            <w:sz w:val="28"/>
            <w:szCs w:val="28"/>
          </w:rPr>
          <w:tab/>
        </w:r>
      </w:hyperlink>
      <w:r>
        <w:rPr>
          <w:rFonts w:hint="eastAsia"/>
          <w:sz w:val="28"/>
          <w:szCs w:val="28"/>
        </w:rPr>
        <w:t>17</w:t>
      </w:r>
    </w:p>
    <w:p>
      <w:pPr>
        <w:pStyle w:val="WPSOffice3"/>
        <w:tabs>
          <w:tab w:val="right" w:leader="dot" w:pos="8980"/>
        </w:tabs>
        <w:spacing w:line="340" w:lineRule="exact"/>
        <w:ind w:left="840"/>
        <w:rPr>
          <w:sz w:val="28"/>
          <w:szCs w:val="28"/>
        </w:rPr>
      </w:pPr>
      <w:hyperlink w:anchor="_Toc23151_WPSOffice_Level3" w:history="1">
        <w:r>
          <w:rPr>
            <w:rFonts w:ascii="仿宋" w:eastAsia="仿宋" w:hAnsi="仿宋" w:hint="eastAsia"/>
            <w:sz w:val="28"/>
            <w:szCs w:val="28"/>
          </w:rPr>
          <w:t>1.初步形成较为合理的学科专业结构</w:t>
        </w:r>
        <w:r>
          <w:rPr>
            <w:sz w:val="28"/>
            <w:szCs w:val="28"/>
          </w:rPr>
          <w:tab/>
        </w:r>
        <w:bookmarkStart w:id="54" w:name="_Toc23151_WPSOffice_Level3Page"/>
        <w:r>
          <w:rPr>
            <w:rFonts w:hint="eastAsia"/>
            <w:sz w:val="28"/>
            <w:szCs w:val="28"/>
          </w:rPr>
          <w:t>1</w:t>
        </w:r>
        <w:bookmarkEnd w:id="54"/>
      </w:hyperlink>
      <w:r>
        <w:rPr>
          <w:rFonts w:hint="eastAsia"/>
          <w:sz w:val="28"/>
          <w:szCs w:val="28"/>
        </w:rPr>
        <w:t>7</w:t>
      </w:r>
    </w:p>
    <w:p>
      <w:pPr>
        <w:pStyle w:val="WPSOffice3"/>
        <w:tabs>
          <w:tab w:val="right" w:leader="dot" w:pos="8980"/>
        </w:tabs>
        <w:spacing w:line="340" w:lineRule="exact"/>
        <w:ind w:left="840"/>
        <w:rPr>
          <w:sz w:val="28"/>
          <w:szCs w:val="28"/>
        </w:rPr>
      </w:pPr>
      <w:hyperlink w:anchor="_Toc17106_WPSOffice_Level3" w:history="1">
        <w:r>
          <w:rPr>
            <w:rFonts w:ascii="仿宋" w:eastAsia="仿宋" w:hAnsi="仿宋" w:hint="eastAsia"/>
            <w:sz w:val="28"/>
            <w:szCs w:val="28"/>
          </w:rPr>
          <w:t>2.学科专业结构契合地方产业结构</w:t>
        </w:r>
        <w:r>
          <w:rPr>
            <w:sz w:val="28"/>
            <w:szCs w:val="28"/>
          </w:rPr>
          <w:tab/>
        </w:r>
      </w:hyperlink>
      <w:r>
        <w:rPr>
          <w:rFonts w:hint="eastAsia"/>
          <w:sz w:val="28"/>
          <w:szCs w:val="28"/>
        </w:rPr>
        <w:t>17</w:t>
      </w:r>
    </w:p>
    <w:p>
      <w:pPr>
        <w:pStyle w:val="WPSOffice3"/>
        <w:tabs>
          <w:tab w:val="right" w:leader="dot" w:pos="8980"/>
        </w:tabs>
        <w:spacing w:line="340" w:lineRule="exact"/>
        <w:ind w:left="840"/>
        <w:rPr>
          <w:sz w:val="28"/>
          <w:szCs w:val="28"/>
        </w:rPr>
      </w:pPr>
      <w:hyperlink w:anchor="_Toc29847_WPSOffice_Level3" w:history="1">
        <w:r>
          <w:rPr>
            <w:rFonts w:ascii="仿宋" w:eastAsia="仿宋" w:hAnsi="仿宋" w:hint="eastAsia"/>
            <w:sz w:val="28"/>
            <w:szCs w:val="28"/>
          </w:rPr>
          <w:t>3.教学质量稳步提高</w:t>
        </w:r>
        <w:r>
          <w:rPr>
            <w:sz w:val="28"/>
            <w:szCs w:val="28"/>
          </w:rPr>
          <w:tab/>
        </w:r>
      </w:hyperlink>
      <w:r>
        <w:rPr>
          <w:rFonts w:hint="eastAsia"/>
          <w:sz w:val="28"/>
          <w:szCs w:val="28"/>
        </w:rPr>
        <w:t>18</w:t>
      </w:r>
    </w:p>
    <w:p>
      <w:pPr>
        <w:pStyle w:val="WPSOffice3"/>
        <w:tabs>
          <w:tab w:val="right" w:leader="dot" w:pos="8980"/>
        </w:tabs>
        <w:spacing w:line="340" w:lineRule="exact"/>
        <w:ind w:left="840"/>
        <w:rPr>
          <w:sz w:val="28"/>
          <w:szCs w:val="28"/>
        </w:rPr>
      </w:pPr>
      <w:hyperlink w:anchor="_Toc14125_WPSOffice_Level3" w:history="1">
        <w:r>
          <w:rPr>
            <w:rFonts w:ascii="仿宋" w:eastAsia="仿宋" w:hAnsi="仿宋" w:hint="eastAsia"/>
            <w:sz w:val="28"/>
            <w:szCs w:val="28"/>
          </w:rPr>
          <w:t>4.形成了一支稳定的教师队伍</w:t>
        </w:r>
        <w:r>
          <w:rPr>
            <w:sz w:val="28"/>
            <w:szCs w:val="28"/>
          </w:rPr>
          <w:tab/>
        </w:r>
      </w:hyperlink>
      <w:r>
        <w:rPr>
          <w:rFonts w:hint="eastAsia"/>
          <w:sz w:val="28"/>
          <w:szCs w:val="28"/>
        </w:rPr>
        <w:t>18</w:t>
      </w:r>
    </w:p>
    <w:p>
      <w:pPr>
        <w:pStyle w:val="WPSOffice2"/>
        <w:tabs>
          <w:tab w:val="right" w:leader="dot" w:pos="8980"/>
        </w:tabs>
        <w:spacing w:line="340" w:lineRule="exact"/>
        <w:ind w:left="420"/>
        <w:rPr>
          <w:sz w:val="28"/>
          <w:szCs w:val="28"/>
        </w:rPr>
      </w:pPr>
      <w:hyperlink w:anchor="_Toc17106_WPSOffice_Level2" w:history="1">
        <w:r>
          <w:rPr>
            <w:rFonts w:ascii="楷体" w:eastAsia="楷体" w:hAnsi="楷体" w:cs="楷体" w:hint="eastAsia"/>
            <w:sz w:val="28"/>
            <w:szCs w:val="28"/>
          </w:rPr>
          <w:t>（二）存在的问题</w:t>
        </w:r>
        <w:r>
          <w:rPr>
            <w:sz w:val="28"/>
            <w:szCs w:val="28"/>
          </w:rPr>
          <w:tab/>
        </w:r>
      </w:hyperlink>
      <w:r>
        <w:rPr>
          <w:rFonts w:hint="eastAsia"/>
          <w:sz w:val="28"/>
          <w:szCs w:val="28"/>
        </w:rPr>
        <w:t>19</w:t>
      </w:r>
    </w:p>
    <w:p>
      <w:pPr>
        <w:pStyle w:val="WPSOffice3"/>
        <w:tabs>
          <w:tab w:val="right" w:leader="dot" w:pos="8980"/>
        </w:tabs>
        <w:spacing w:line="340" w:lineRule="exact"/>
        <w:ind w:left="840"/>
        <w:rPr>
          <w:sz w:val="28"/>
          <w:szCs w:val="28"/>
        </w:rPr>
      </w:pPr>
      <w:hyperlink w:anchor="_Toc23980_WPSOffice_Level3" w:history="1">
        <w:r>
          <w:rPr>
            <w:rFonts w:ascii="仿宋" w:eastAsia="仿宋" w:hAnsi="仿宋" w:hint="eastAsia"/>
            <w:sz w:val="28"/>
            <w:szCs w:val="28"/>
          </w:rPr>
          <w:t>1.专业结构有待进一步优化</w:t>
        </w:r>
        <w:r>
          <w:rPr>
            <w:sz w:val="28"/>
            <w:szCs w:val="28"/>
          </w:rPr>
          <w:tab/>
        </w:r>
        <w:bookmarkStart w:id="55" w:name="_Toc23980_WPSOffice_Level3Page"/>
        <w:r>
          <w:rPr>
            <w:rFonts w:hint="eastAsia"/>
            <w:sz w:val="28"/>
            <w:szCs w:val="28"/>
          </w:rPr>
          <w:t>19</w:t>
        </w:r>
        <w:bookmarkEnd w:id="55"/>
      </w:hyperlink>
    </w:p>
    <w:p>
      <w:pPr>
        <w:pStyle w:val="WPSOffice3"/>
        <w:tabs>
          <w:tab w:val="right" w:leader="dot" w:pos="8980"/>
        </w:tabs>
        <w:spacing w:line="340" w:lineRule="exact"/>
        <w:ind w:left="840"/>
        <w:rPr>
          <w:sz w:val="28"/>
          <w:szCs w:val="28"/>
        </w:rPr>
      </w:pPr>
      <w:hyperlink w:anchor="_Toc32153_WPSOffice_Level3" w:history="1">
        <w:r>
          <w:rPr>
            <w:rFonts w:ascii="仿宋" w:eastAsia="仿宋" w:hAnsi="仿宋" w:hint="eastAsia"/>
            <w:sz w:val="28"/>
            <w:szCs w:val="28"/>
          </w:rPr>
          <w:t>2.学科专业特色建设成效不显著</w:t>
        </w:r>
        <w:r>
          <w:rPr>
            <w:sz w:val="28"/>
            <w:szCs w:val="28"/>
          </w:rPr>
          <w:tab/>
        </w:r>
      </w:hyperlink>
      <w:r>
        <w:rPr>
          <w:rFonts w:hint="eastAsia"/>
          <w:sz w:val="28"/>
          <w:szCs w:val="28"/>
        </w:rPr>
        <w:t>19</w:t>
      </w:r>
    </w:p>
    <w:p>
      <w:pPr>
        <w:pStyle w:val="WPSOffice3"/>
        <w:tabs>
          <w:tab w:val="right" w:leader="dot" w:pos="8980"/>
        </w:tabs>
        <w:spacing w:line="340" w:lineRule="exact"/>
        <w:ind w:left="840"/>
        <w:rPr>
          <w:sz w:val="28"/>
          <w:szCs w:val="28"/>
        </w:rPr>
      </w:pPr>
      <w:hyperlink w:anchor="_Toc2307_WPSOffice_Level3" w:history="1">
        <w:r>
          <w:rPr>
            <w:rFonts w:ascii="仿宋" w:eastAsia="仿宋" w:hAnsi="仿宋" w:hint="eastAsia"/>
            <w:sz w:val="28"/>
            <w:szCs w:val="28"/>
          </w:rPr>
          <w:t>3.教师队伍整体水平有待提高</w:t>
        </w:r>
        <w:r>
          <w:rPr>
            <w:sz w:val="28"/>
            <w:szCs w:val="28"/>
          </w:rPr>
          <w:tab/>
        </w:r>
      </w:hyperlink>
      <w:r>
        <w:rPr>
          <w:rFonts w:hint="eastAsia"/>
          <w:sz w:val="28"/>
          <w:szCs w:val="28"/>
        </w:rPr>
        <w:t>19</w:t>
      </w:r>
    </w:p>
    <w:p>
      <w:pPr>
        <w:pStyle w:val="WPSOffice3"/>
        <w:tabs>
          <w:tab w:val="right" w:leader="dot" w:pos="8980"/>
        </w:tabs>
        <w:spacing w:line="340" w:lineRule="exact"/>
        <w:ind w:left="840"/>
        <w:rPr>
          <w:sz w:val="28"/>
          <w:szCs w:val="28"/>
        </w:rPr>
      </w:pPr>
      <w:hyperlink w:anchor="_Toc29925_WPSOffice_Level3" w:history="1">
        <w:r>
          <w:rPr>
            <w:rFonts w:ascii="仿宋" w:eastAsia="仿宋" w:hAnsi="仿宋" w:hint="eastAsia"/>
            <w:sz w:val="28"/>
            <w:szCs w:val="28"/>
          </w:rPr>
          <w:t>4.实践教学条件建设有待进一步强化</w:t>
        </w:r>
        <w:r>
          <w:rPr>
            <w:sz w:val="28"/>
            <w:szCs w:val="28"/>
          </w:rPr>
          <w:tab/>
        </w:r>
      </w:hyperlink>
      <w:r>
        <w:rPr>
          <w:rFonts w:hint="eastAsia"/>
          <w:sz w:val="28"/>
          <w:szCs w:val="28"/>
        </w:rPr>
        <w:t>20</w:t>
      </w:r>
    </w:p>
    <w:p>
      <w:pPr>
        <w:pStyle w:val="WPSOffice3"/>
        <w:tabs>
          <w:tab w:val="right" w:leader="dot" w:pos="8980"/>
        </w:tabs>
        <w:spacing w:line="340" w:lineRule="exact"/>
        <w:ind w:left="840"/>
        <w:rPr>
          <w:sz w:val="28"/>
          <w:szCs w:val="28"/>
        </w:rPr>
      </w:pPr>
      <w:hyperlink w:anchor="_Toc22479_WPSOffice_Level3" w:history="1">
        <w:r>
          <w:rPr>
            <w:rFonts w:ascii="仿宋" w:eastAsia="仿宋" w:hAnsi="仿宋" w:hint="eastAsia"/>
            <w:sz w:val="28"/>
            <w:szCs w:val="28"/>
          </w:rPr>
          <w:t>5.教学改革有待进一步深入</w:t>
        </w:r>
        <w:r>
          <w:rPr>
            <w:sz w:val="28"/>
            <w:szCs w:val="28"/>
          </w:rPr>
          <w:tab/>
        </w:r>
      </w:hyperlink>
      <w:r>
        <w:rPr>
          <w:rFonts w:hint="eastAsia"/>
          <w:sz w:val="28"/>
          <w:szCs w:val="28"/>
        </w:rPr>
        <w:t>20</w:t>
      </w:r>
    </w:p>
    <w:p>
      <w:pPr>
        <w:pStyle w:val="WPSOffice3"/>
        <w:tabs>
          <w:tab w:val="right" w:leader="dot" w:pos="8980"/>
        </w:tabs>
        <w:spacing w:line="340" w:lineRule="exact"/>
        <w:ind w:left="840"/>
        <w:rPr>
          <w:sz w:val="28"/>
          <w:szCs w:val="28"/>
        </w:rPr>
      </w:pPr>
      <w:hyperlink w:anchor="_Toc2188_WPSOffice_Level3" w:history="1">
        <w:r>
          <w:rPr>
            <w:rFonts w:ascii="仿宋" w:eastAsia="仿宋" w:hAnsi="仿宋" w:hint="eastAsia"/>
            <w:sz w:val="28"/>
            <w:szCs w:val="28"/>
          </w:rPr>
          <w:t>6.产学研合作办学体系还不完善</w:t>
        </w:r>
        <w:r>
          <w:rPr>
            <w:sz w:val="28"/>
            <w:szCs w:val="28"/>
          </w:rPr>
          <w:tab/>
        </w:r>
      </w:hyperlink>
      <w:r>
        <w:rPr>
          <w:rFonts w:hint="eastAsia"/>
          <w:sz w:val="28"/>
          <w:szCs w:val="28"/>
        </w:rPr>
        <w:t>20</w:t>
      </w:r>
    </w:p>
    <w:p>
      <w:pPr>
        <w:pStyle w:val="WPSOffice1"/>
        <w:tabs>
          <w:tab w:val="right" w:leader="dot" w:pos="8980"/>
        </w:tabs>
        <w:spacing w:line="340" w:lineRule="exact"/>
        <w:rPr>
          <w:sz w:val="28"/>
          <w:szCs w:val="28"/>
        </w:rPr>
      </w:pPr>
      <w:hyperlink w:anchor="_Toc14125_WPSOffice_Level1" w:history="1">
        <w:r>
          <w:rPr>
            <w:rFonts w:ascii="黑体" w:eastAsia="黑体" w:hAnsi="黑体" w:cs="黑体" w:hint="eastAsia"/>
            <w:sz w:val="28"/>
            <w:szCs w:val="28"/>
          </w:rPr>
          <w:t>二、指导思想与建设目标</w:t>
        </w:r>
        <w:r>
          <w:rPr>
            <w:sz w:val="28"/>
            <w:szCs w:val="28"/>
          </w:rPr>
          <w:tab/>
        </w:r>
      </w:hyperlink>
      <w:r>
        <w:rPr>
          <w:rFonts w:hint="eastAsia"/>
          <w:sz w:val="28"/>
          <w:szCs w:val="28"/>
        </w:rPr>
        <w:t>20</w:t>
      </w:r>
    </w:p>
    <w:p>
      <w:pPr>
        <w:pStyle w:val="WPSOffice2"/>
        <w:tabs>
          <w:tab w:val="right" w:leader="dot" w:pos="8980"/>
        </w:tabs>
        <w:spacing w:line="340" w:lineRule="exact"/>
        <w:ind w:left="420"/>
        <w:rPr>
          <w:sz w:val="28"/>
          <w:szCs w:val="28"/>
        </w:rPr>
      </w:pPr>
      <w:hyperlink w:anchor="_Toc29847_WPSOffice_Level2" w:history="1">
        <w:r>
          <w:rPr>
            <w:rFonts w:ascii="楷体" w:eastAsia="楷体" w:hAnsi="楷体" w:cs="楷体" w:hint="eastAsia"/>
            <w:sz w:val="28"/>
            <w:szCs w:val="28"/>
          </w:rPr>
          <w:t>（一）指导思想</w:t>
        </w:r>
        <w:r>
          <w:rPr>
            <w:sz w:val="28"/>
            <w:szCs w:val="28"/>
          </w:rPr>
          <w:tab/>
        </w:r>
      </w:hyperlink>
      <w:r>
        <w:rPr>
          <w:rFonts w:hint="eastAsia"/>
          <w:sz w:val="28"/>
          <w:szCs w:val="28"/>
        </w:rPr>
        <w:t>20</w:t>
      </w:r>
    </w:p>
    <w:p>
      <w:pPr>
        <w:pStyle w:val="WPSOffice2"/>
        <w:tabs>
          <w:tab w:val="right" w:leader="dot" w:pos="8980"/>
        </w:tabs>
        <w:spacing w:line="340" w:lineRule="exact"/>
        <w:ind w:left="420"/>
        <w:rPr>
          <w:sz w:val="28"/>
          <w:szCs w:val="28"/>
        </w:rPr>
      </w:pPr>
      <w:hyperlink w:anchor="_Toc23980_WPSOffice_Level2" w:history="1">
        <w:r>
          <w:rPr>
            <w:rFonts w:ascii="楷体" w:eastAsia="楷体" w:hAnsi="楷体" w:cs="楷体" w:hint="eastAsia"/>
            <w:sz w:val="28"/>
            <w:szCs w:val="28"/>
          </w:rPr>
          <w:t>（二）建设目标</w:t>
        </w:r>
        <w:r>
          <w:rPr>
            <w:sz w:val="28"/>
            <w:szCs w:val="28"/>
          </w:rPr>
          <w:tab/>
        </w:r>
      </w:hyperlink>
      <w:r>
        <w:rPr>
          <w:rFonts w:hint="eastAsia"/>
          <w:sz w:val="28"/>
          <w:szCs w:val="28"/>
        </w:rPr>
        <w:t>20</w:t>
      </w:r>
    </w:p>
    <w:p>
      <w:pPr>
        <w:pStyle w:val="WPSOffice1"/>
        <w:tabs>
          <w:tab w:val="right" w:leader="dot" w:pos="8980"/>
        </w:tabs>
        <w:spacing w:line="340" w:lineRule="exact"/>
        <w:rPr>
          <w:sz w:val="28"/>
          <w:szCs w:val="28"/>
        </w:rPr>
      </w:pPr>
      <w:hyperlink w:anchor="_Toc23980_WPSOffice_Level1" w:history="1">
        <w:r>
          <w:rPr>
            <w:rFonts w:ascii="黑体" w:eastAsia="黑体" w:hAnsi="黑体" w:cs="黑体" w:hint="eastAsia"/>
            <w:sz w:val="28"/>
            <w:szCs w:val="28"/>
          </w:rPr>
          <w:t>三、主要举措</w:t>
        </w:r>
        <w:r>
          <w:rPr>
            <w:sz w:val="28"/>
            <w:szCs w:val="28"/>
          </w:rPr>
          <w:tab/>
        </w:r>
      </w:hyperlink>
      <w:r>
        <w:rPr>
          <w:rFonts w:hint="eastAsia"/>
          <w:sz w:val="28"/>
          <w:szCs w:val="28"/>
        </w:rPr>
        <w:t>21</w:t>
      </w:r>
    </w:p>
    <w:p>
      <w:pPr>
        <w:pStyle w:val="WPSOffice2"/>
        <w:tabs>
          <w:tab w:val="right" w:leader="dot" w:pos="8980"/>
        </w:tabs>
        <w:spacing w:line="340" w:lineRule="exact"/>
        <w:ind w:left="420"/>
        <w:rPr>
          <w:sz w:val="28"/>
          <w:szCs w:val="28"/>
        </w:rPr>
      </w:pPr>
      <w:hyperlink w:anchor="_Toc32153_WPSOffice_Level2" w:history="1">
        <w:r>
          <w:rPr>
            <w:rFonts w:ascii="楷体" w:eastAsia="楷体" w:hAnsi="楷体" w:cs="楷体" w:hint="eastAsia"/>
            <w:sz w:val="28"/>
            <w:szCs w:val="28"/>
          </w:rPr>
          <w:t>（一）调整优化学科专业结构布局，建立学科专业动态调整机制</w:t>
        </w:r>
        <w:r>
          <w:rPr>
            <w:sz w:val="28"/>
            <w:szCs w:val="28"/>
          </w:rPr>
          <w:tab/>
        </w:r>
      </w:hyperlink>
      <w:r>
        <w:rPr>
          <w:rFonts w:hint="eastAsia"/>
          <w:sz w:val="28"/>
          <w:szCs w:val="28"/>
        </w:rPr>
        <w:t>21</w:t>
      </w:r>
    </w:p>
    <w:p>
      <w:pPr>
        <w:pStyle w:val="WPSOffice2"/>
        <w:tabs>
          <w:tab w:val="right" w:leader="dot" w:pos="8980"/>
        </w:tabs>
        <w:spacing w:line="340" w:lineRule="exact"/>
        <w:ind w:left="420"/>
        <w:rPr>
          <w:sz w:val="28"/>
          <w:szCs w:val="28"/>
        </w:rPr>
      </w:pPr>
      <w:hyperlink w:anchor="_Toc2307_WPSOffice_Level2" w:history="1">
        <w:r>
          <w:rPr>
            <w:rFonts w:ascii="楷体" w:eastAsia="楷体" w:hAnsi="楷体" w:cs="楷体" w:hint="eastAsia"/>
            <w:sz w:val="28"/>
            <w:szCs w:val="28"/>
          </w:rPr>
          <w:t>（二）开展专业集群建设，推动专业集群内部结构优化</w:t>
        </w:r>
        <w:r>
          <w:rPr>
            <w:sz w:val="28"/>
            <w:szCs w:val="28"/>
          </w:rPr>
          <w:tab/>
        </w:r>
      </w:hyperlink>
      <w:r>
        <w:rPr>
          <w:rFonts w:hint="eastAsia"/>
          <w:sz w:val="28"/>
          <w:szCs w:val="28"/>
        </w:rPr>
        <w:t>21</w:t>
      </w:r>
    </w:p>
    <w:p>
      <w:pPr>
        <w:pStyle w:val="WPSOffice3"/>
        <w:tabs>
          <w:tab w:val="right" w:leader="dot" w:pos="8980"/>
        </w:tabs>
        <w:spacing w:line="340" w:lineRule="exact"/>
        <w:ind w:left="840"/>
        <w:rPr>
          <w:sz w:val="28"/>
          <w:szCs w:val="28"/>
        </w:rPr>
      </w:pPr>
      <w:hyperlink w:anchor="_Toc16979_WPSOffice_Level3" w:history="1">
        <w:r>
          <w:rPr>
            <w:rFonts w:ascii="仿宋" w:eastAsia="仿宋" w:hAnsi="仿宋" w:hint="eastAsia"/>
            <w:sz w:val="28"/>
            <w:szCs w:val="28"/>
          </w:rPr>
          <w:t>1.建立专业集群内专业动态调整机制</w:t>
        </w:r>
        <w:r>
          <w:rPr>
            <w:sz w:val="28"/>
            <w:szCs w:val="28"/>
          </w:rPr>
          <w:tab/>
        </w:r>
      </w:hyperlink>
      <w:r>
        <w:rPr>
          <w:rFonts w:hint="eastAsia"/>
          <w:sz w:val="28"/>
          <w:szCs w:val="28"/>
        </w:rPr>
        <w:t>22</w:t>
      </w:r>
    </w:p>
    <w:p>
      <w:pPr>
        <w:pStyle w:val="WPSOffice3"/>
        <w:tabs>
          <w:tab w:val="right" w:leader="dot" w:pos="8980"/>
        </w:tabs>
        <w:spacing w:line="340" w:lineRule="exact"/>
        <w:ind w:left="840"/>
        <w:rPr>
          <w:sz w:val="28"/>
          <w:szCs w:val="28"/>
        </w:rPr>
      </w:pPr>
      <w:hyperlink w:anchor="_Toc26550_WPSOffice_Level3" w:history="1">
        <w:r>
          <w:rPr>
            <w:rFonts w:ascii="仿宋" w:eastAsia="仿宋" w:hAnsi="仿宋" w:hint="eastAsia"/>
            <w:sz w:val="28"/>
            <w:szCs w:val="28"/>
          </w:rPr>
          <w:t>2.实施专业集群特色发展战略</w:t>
        </w:r>
        <w:r>
          <w:rPr>
            <w:sz w:val="28"/>
            <w:szCs w:val="28"/>
          </w:rPr>
          <w:tab/>
        </w:r>
      </w:hyperlink>
      <w:r>
        <w:rPr>
          <w:rFonts w:hint="eastAsia"/>
          <w:sz w:val="28"/>
          <w:szCs w:val="28"/>
        </w:rPr>
        <w:t>22</w:t>
      </w:r>
    </w:p>
    <w:p>
      <w:pPr>
        <w:pStyle w:val="WPSOffice3"/>
        <w:tabs>
          <w:tab w:val="right" w:leader="dot" w:pos="8980"/>
        </w:tabs>
        <w:spacing w:line="340" w:lineRule="exact"/>
        <w:ind w:left="840"/>
        <w:rPr>
          <w:sz w:val="28"/>
          <w:szCs w:val="28"/>
        </w:rPr>
      </w:pPr>
      <w:hyperlink w:anchor="_Toc7002_WPSOffice_Level3" w:history="1">
        <w:r>
          <w:rPr>
            <w:rFonts w:ascii="仿宋" w:eastAsia="仿宋" w:hAnsi="仿宋" w:hint="eastAsia"/>
            <w:sz w:val="28"/>
            <w:szCs w:val="28"/>
          </w:rPr>
          <w:t>3.积极推进</w:t>
        </w:r>
        <w:r>
          <w:rPr>
            <w:rFonts w:ascii="仿宋" w:eastAsia="仿宋" w:hAnsi="仿宋" w:hint="eastAsia"/>
            <w:sz w:val="28"/>
            <w:szCs w:val="28"/>
          </w:rPr>
          <w:t>“</w:t>
        </w:r>
        <w:r>
          <w:rPr>
            <w:rFonts w:ascii="仿宋" w:eastAsia="仿宋" w:hAnsi="仿宋" w:hint="eastAsia"/>
            <w:sz w:val="28"/>
            <w:szCs w:val="28"/>
          </w:rPr>
          <w:t>产学研</w:t>
        </w:r>
        <w:r>
          <w:rPr>
            <w:rFonts w:ascii="仿宋" w:eastAsia="仿宋" w:hAnsi="仿宋" w:hint="eastAsia"/>
            <w:sz w:val="28"/>
            <w:szCs w:val="28"/>
          </w:rPr>
          <w:t>”</w:t>
        </w:r>
        <w:r>
          <w:rPr>
            <w:rFonts w:ascii="仿宋" w:eastAsia="仿宋" w:hAnsi="仿宋" w:hint="eastAsia"/>
            <w:sz w:val="28"/>
            <w:szCs w:val="28"/>
          </w:rPr>
          <w:t>合作办学进度</w:t>
        </w:r>
        <w:r>
          <w:rPr>
            <w:sz w:val="28"/>
            <w:szCs w:val="28"/>
          </w:rPr>
          <w:tab/>
        </w:r>
      </w:hyperlink>
      <w:r>
        <w:rPr>
          <w:rFonts w:hint="eastAsia"/>
          <w:sz w:val="28"/>
          <w:szCs w:val="28"/>
        </w:rPr>
        <w:t>22</w:t>
      </w:r>
    </w:p>
    <w:p>
      <w:pPr>
        <w:pStyle w:val="WPSOffice2"/>
        <w:tabs>
          <w:tab w:val="right" w:leader="dot" w:pos="8980"/>
        </w:tabs>
        <w:spacing w:line="340" w:lineRule="exact"/>
        <w:ind w:left="420"/>
        <w:rPr>
          <w:sz w:val="28"/>
          <w:szCs w:val="28"/>
        </w:rPr>
      </w:pPr>
      <w:hyperlink w:anchor="_Toc29925_WPSOffice_Level2" w:history="1">
        <w:r>
          <w:rPr>
            <w:rFonts w:ascii="楷体" w:eastAsia="楷体" w:hAnsi="楷体" w:cs="楷体" w:hint="eastAsia"/>
            <w:sz w:val="28"/>
            <w:szCs w:val="28"/>
          </w:rPr>
          <w:t>（三）完善学科体系，实施医护医技类专业群建设</w:t>
        </w:r>
        <w:r>
          <w:rPr>
            <w:sz w:val="28"/>
            <w:szCs w:val="28"/>
          </w:rPr>
          <w:tab/>
        </w:r>
      </w:hyperlink>
      <w:r>
        <w:rPr>
          <w:rFonts w:hint="eastAsia"/>
          <w:sz w:val="28"/>
          <w:szCs w:val="28"/>
        </w:rPr>
        <w:t>22</w:t>
      </w:r>
    </w:p>
    <w:p>
      <w:pPr>
        <w:pStyle w:val="WPSOffice2"/>
        <w:tabs>
          <w:tab w:val="right" w:leader="dot" w:pos="8980"/>
        </w:tabs>
        <w:spacing w:line="340" w:lineRule="exact"/>
        <w:ind w:left="420"/>
        <w:rPr>
          <w:sz w:val="28"/>
          <w:szCs w:val="28"/>
        </w:rPr>
      </w:pPr>
      <w:hyperlink w:anchor="_Toc22479_WPSOffice_Level2" w:history="1">
        <w:r>
          <w:rPr>
            <w:rFonts w:ascii="楷体" w:eastAsia="楷体" w:hAnsi="楷体" w:cs="楷体" w:hint="eastAsia"/>
            <w:sz w:val="28"/>
            <w:szCs w:val="28"/>
          </w:rPr>
          <w:t>（四）加大学科专业建设力度</w:t>
        </w:r>
        <w:r>
          <w:rPr>
            <w:sz w:val="28"/>
            <w:szCs w:val="28"/>
          </w:rPr>
          <w:tab/>
        </w:r>
      </w:hyperlink>
      <w:r>
        <w:rPr>
          <w:rFonts w:hint="eastAsia"/>
          <w:sz w:val="28"/>
          <w:szCs w:val="28"/>
        </w:rPr>
        <w:t>23</w:t>
      </w:r>
    </w:p>
    <w:p>
      <w:pPr>
        <w:pStyle w:val="WPSOffice3"/>
        <w:tabs>
          <w:tab w:val="right" w:leader="dot" w:pos="8980"/>
        </w:tabs>
        <w:spacing w:line="340" w:lineRule="exact"/>
        <w:ind w:left="840"/>
        <w:rPr>
          <w:sz w:val="28"/>
          <w:szCs w:val="28"/>
        </w:rPr>
      </w:pPr>
      <w:hyperlink w:anchor="_Toc310_WPSOffice_Level3" w:history="1">
        <w:r>
          <w:rPr>
            <w:rFonts w:ascii="仿宋" w:eastAsia="仿宋" w:hAnsi="仿宋" w:hint="eastAsia"/>
            <w:sz w:val="28"/>
            <w:szCs w:val="28"/>
          </w:rPr>
          <w:t>1.创新人才培养模式，优化人才培养方案</w:t>
        </w:r>
        <w:r>
          <w:rPr>
            <w:sz w:val="28"/>
            <w:szCs w:val="28"/>
          </w:rPr>
          <w:tab/>
        </w:r>
      </w:hyperlink>
      <w:r>
        <w:rPr>
          <w:rFonts w:hint="eastAsia"/>
          <w:sz w:val="28"/>
          <w:szCs w:val="28"/>
        </w:rPr>
        <w:t>23</w:t>
      </w:r>
    </w:p>
    <w:p>
      <w:pPr>
        <w:pStyle w:val="WPSOffice3"/>
        <w:tabs>
          <w:tab w:val="right" w:leader="dot" w:pos="8980"/>
        </w:tabs>
        <w:spacing w:line="340" w:lineRule="exact"/>
        <w:ind w:left="840"/>
        <w:rPr>
          <w:sz w:val="28"/>
          <w:szCs w:val="28"/>
        </w:rPr>
      </w:pPr>
      <w:hyperlink w:anchor="_Toc18617_WPSOffice_Level3" w:history="1">
        <w:r>
          <w:rPr>
            <w:rFonts w:ascii="仿宋" w:eastAsia="仿宋" w:hAnsi="仿宋" w:hint="eastAsia"/>
            <w:sz w:val="28"/>
            <w:szCs w:val="28"/>
          </w:rPr>
          <w:t>2.加强课程建设</w:t>
        </w:r>
        <w:r>
          <w:rPr>
            <w:sz w:val="28"/>
            <w:szCs w:val="28"/>
          </w:rPr>
          <w:tab/>
        </w:r>
      </w:hyperlink>
      <w:r>
        <w:rPr>
          <w:rFonts w:hint="eastAsia"/>
          <w:sz w:val="28"/>
          <w:szCs w:val="28"/>
        </w:rPr>
        <w:t>23</w:t>
      </w:r>
    </w:p>
    <w:p>
      <w:pPr>
        <w:pStyle w:val="WPSOffice3"/>
        <w:tabs>
          <w:tab w:val="right" w:leader="dot" w:pos="8980"/>
        </w:tabs>
        <w:spacing w:line="340" w:lineRule="exact"/>
        <w:ind w:left="840"/>
        <w:rPr>
          <w:sz w:val="28"/>
          <w:szCs w:val="28"/>
        </w:rPr>
      </w:pPr>
      <w:hyperlink w:anchor="_Toc21657_WPSOffice_Level3" w:history="1">
        <w:r>
          <w:rPr>
            <w:rFonts w:ascii="仿宋" w:eastAsia="仿宋" w:hAnsi="仿宋" w:hint="eastAsia"/>
            <w:sz w:val="28"/>
            <w:szCs w:val="28"/>
          </w:rPr>
          <w:t>3.加强教学基层组织和教学团队建设</w:t>
        </w:r>
        <w:r>
          <w:rPr>
            <w:sz w:val="28"/>
            <w:szCs w:val="28"/>
          </w:rPr>
          <w:tab/>
        </w:r>
      </w:hyperlink>
      <w:r>
        <w:rPr>
          <w:rFonts w:hint="eastAsia"/>
          <w:sz w:val="28"/>
          <w:szCs w:val="28"/>
        </w:rPr>
        <w:t>23</w:t>
      </w:r>
    </w:p>
    <w:p>
      <w:pPr>
        <w:pStyle w:val="WPSOffice3"/>
        <w:tabs>
          <w:tab w:val="right" w:leader="dot" w:pos="8980"/>
        </w:tabs>
        <w:spacing w:line="340" w:lineRule="exact"/>
        <w:ind w:left="840"/>
        <w:rPr>
          <w:sz w:val="28"/>
          <w:szCs w:val="28"/>
        </w:rPr>
      </w:pPr>
      <w:hyperlink w:anchor="_Toc24751_WPSOffice_Level3" w:history="1">
        <w:r>
          <w:rPr>
            <w:rFonts w:ascii="仿宋" w:eastAsia="仿宋" w:hAnsi="仿宋" w:hint="eastAsia"/>
            <w:sz w:val="28"/>
            <w:szCs w:val="28"/>
          </w:rPr>
          <w:t>4.加强实践教学平台建设</w:t>
        </w:r>
        <w:r>
          <w:rPr>
            <w:sz w:val="28"/>
            <w:szCs w:val="28"/>
          </w:rPr>
          <w:tab/>
        </w:r>
      </w:hyperlink>
      <w:r>
        <w:rPr>
          <w:rFonts w:hint="eastAsia"/>
          <w:sz w:val="28"/>
          <w:szCs w:val="28"/>
        </w:rPr>
        <w:t>24</w:t>
      </w:r>
    </w:p>
    <w:p>
      <w:pPr>
        <w:pStyle w:val="WPSOffice3"/>
        <w:tabs>
          <w:tab w:val="right" w:leader="dot" w:pos="8980"/>
        </w:tabs>
        <w:spacing w:line="340" w:lineRule="exact"/>
        <w:ind w:left="840"/>
        <w:rPr>
          <w:sz w:val="28"/>
          <w:szCs w:val="28"/>
        </w:rPr>
      </w:pPr>
      <w:hyperlink w:anchor="_Toc26748_WPSOffice_Level3" w:history="1">
        <w:r>
          <w:rPr>
            <w:rFonts w:ascii="仿宋" w:eastAsia="仿宋" w:hAnsi="仿宋" w:hint="eastAsia"/>
            <w:sz w:val="28"/>
            <w:szCs w:val="28"/>
          </w:rPr>
          <w:t>5.开展专业评估，建立诊断改进机制</w:t>
        </w:r>
        <w:r>
          <w:rPr>
            <w:sz w:val="28"/>
            <w:szCs w:val="28"/>
          </w:rPr>
          <w:tab/>
        </w:r>
      </w:hyperlink>
      <w:r>
        <w:rPr>
          <w:rFonts w:hint="eastAsia"/>
          <w:sz w:val="28"/>
          <w:szCs w:val="28"/>
        </w:rPr>
        <w:t>24</w:t>
      </w:r>
    </w:p>
    <w:p>
      <w:pPr>
        <w:pStyle w:val="WPSOffice3"/>
        <w:tabs>
          <w:tab w:val="right" w:leader="dot" w:pos="8980"/>
        </w:tabs>
        <w:spacing w:line="340" w:lineRule="exact"/>
        <w:ind w:left="840"/>
        <w:rPr>
          <w:sz w:val="28"/>
          <w:szCs w:val="28"/>
        </w:rPr>
      </w:pPr>
      <w:hyperlink w:anchor="_Toc23379_WPSOffice_Level3" w:history="1">
        <w:r>
          <w:rPr>
            <w:rFonts w:ascii="仿宋" w:eastAsia="仿宋" w:hAnsi="仿宋" w:hint="eastAsia"/>
            <w:sz w:val="28"/>
            <w:szCs w:val="28"/>
          </w:rPr>
          <w:t>6.着力培育专业硕士学位点</w:t>
        </w:r>
        <w:r>
          <w:rPr>
            <w:sz w:val="28"/>
            <w:szCs w:val="28"/>
          </w:rPr>
          <w:tab/>
        </w:r>
      </w:hyperlink>
      <w:r>
        <w:rPr>
          <w:rFonts w:hint="eastAsia"/>
          <w:sz w:val="28"/>
          <w:szCs w:val="28"/>
        </w:rPr>
        <w:t>27</w:t>
      </w:r>
    </w:p>
    <w:p>
      <w:pPr>
        <w:pStyle w:val="WPSOffice1"/>
        <w:tabs>
          <w:tab w:val="right" w:leader="dot" w:pos="8980"/>
        </w:tabs>
        <w:spacing w:line="340" w:lineRule="exact"/>
        <w:rPr>
          <w:sz w:val="28"/>
          <w:szCs w:val="28"/>
        </w:rPr>
      </w:pPr>
      <w:hyperlink w:anchor="_Toc32153_WPSOffice_Level1" w:history="1">
        <w:r>
          <w:rPr>
            <w:rFonts w:ascii="黑体" w:eastAsia="黑体" w:hAnsi="黑体" w:cs="黑体" w:hint="eastAsia"/>
            <w:sz w:val="28"/>
            <w:szCs w:val="28"/>
          </w:rPr>
          <w:t>四、保障措施</w:t>
        </w:r>
        <w:r>
          <w:rPr>
            <w:sz w:val="28"/>
            <w:szCs w:val="28"/>
          </w:rPr>
          <w:tab/>
        </w:r>
      </w:hyperlink>
      <w:r>
        <w:rPr>
          <w:rFonts w:hint="eastAsia"/>
          <w:sz w:val="28"/>
          <w:szCs w:val="28"/>
        </w:rPr>
        <w:t>27</w:t>
      </w:r>
    </w:p>
    <w:p>
      <w:pPr>
        <w:pStyle w:val="WPSOffice2"/>
        <w:tabs>
          <w:tab w:val="right" w:leader="dot" w:pos="8980"/>
        </w:tabs>
        <w:spacing w:line="340" w:lineRule="exact"/>
        <w:ind w:left="420"/>
        <w:rPr>
          <w:sz w:val="28"/>
          <w:szCs w:val="28"/>
        </w:rPr>
      </w:pPr>
      <w:hyperlink w:anchor="_Toc2188_WPSOffice_Level2" w:history="1">
        <w:r>
          <w:rPr>
            <w:rFonts w:ascii="楷体" w:eastAsia="楷体" w:hAnsi="楷体" w:cs="楷体" w:hint="eastAsia"/>
            <w:sz w:val="28"/>
            <w:szCs w:val="28"/>
          </w:rPr>
          <w:t>（一）组织保障</w:t>
        </w:r>
        <w:r>
          <w:rPr>
            <w:sz w:val="28"/>
            <w:szCs w:val="28"/>
          </w:rPr>
          <w:tab/>
        </w:r>
      </w:hyperlink>
      <w:r>
        <w:rPr>
          <w:rFonts w:hint="eastAsia"/>
          <w:sz w:val="28"/>
          <w:szCs w:val="28"/>
        </w:rPr>
        <w:t>27</w:t>
      </w:r>
    </w:p>
    <w:p>
      <w:pPr>
        <w:pStyle w:val="WPSOffice2"/>
        <w:tabs>
          <w:tab w:val="right" w:leader="dot" w:pos="8980"/>
        </w:tabs>
        <w:spacing w:line="340" w:lineRule="exact"/>
        <w:ind w:left="420"/>
        <w:rPr>
          <w:sz w:val="28"/>
          <w:szCs w:val="28"/>
        </w:rPr>
      </w:pPr>
      <w:hyperlink w:anchor="_Toc16979_WPSOffice_Level2" w:history="1">
        <w:r>
          <w:rPr>
            <w:rFonts w:ascii="楷体" w:eastAsia="楷体" w:hAnsi="楷体" w:cs="楷体" w:hint="eastAsia"/>
            <w:sz w:val="28"/>
            <w:szCs w:val="28"/>
          </w:rPr>
          <w:t>（二）经费保障</w:t>
        </w:r>
        <w:r>
          <w:rPr>
            <w:sz w:val="28"/>
            <w:szCs w:val="28"/>
          </w:rPr>
          <w:tab/>
        </w:r>
      </w:hyperlink>
      <w:r>
        <w:rPr>
          <w:rFonts w:hint="eastAsia"/>
          <w:sz w:val="28"/>
          <w:szCs w:val="28"/>
        </w:rPr>
        <w:t>27</w:t>
      </w:r>
    </w:p>
    <w:p>
      <w:pPr>
        <w:pStyle w:val="WPSOffice2"/>
        <w:tabs>
          <w:tab w:val="right" w:leader="dot" w:pos="8980"/>
        </w:tabs>
        <w:spacing w:line="340" w:lineRule="exact"/>
        <w:ind w:left="420"/>
        <w:rPr>
          <w:sz w:val="28"/>
          <w:szCs w:val="28"/>
        </w:rPr>
      </w:pPr>
      <w:hyperlink w:anchor="_Toc26550_WPSOffice_Level2" w:history="1">
        <w:r>
          <w:rPr>
            <w:rFonts w:ascii="楷体" w:eastAsia="楷体" w:hAnsi="楷体" w:cs="楷体" w:hint="eastAsia"/>
            <w:sz w:val="28"/>
            <w:szCs w:val="28"/>
          </w:rPr>
          <w:t>（三）政策保障</w:t>
        </w:r>
        <w:r>
          <w:rPr>
            <w:sz w:val="28"/>
            <w:szCs w:val="28"/>
          </w:rPr>
          <w:tab/>
        </w:r>
      </w:hyperlink>
      <w:r>
        <w:rPr>
          <w:rFonts w:hint="eastAsia"/>
          <w:sz w:val="28"/>
          <w:szCs w:val="28"/>
        </w:rPr>
        <w:t>27</w:t>
      </w:r>
    </w:p>
    <w:p>
      <w:pPr>
        <w:pStyle w:val="WPSOffice2"/>
        <w:tabs>
          <w:tab w:val="right" w:leader="dot" w:pos="8980"/>
        </w:tabs>
        <w:spacing w:line="340" w:lineRule="exact"/>
        <w:ind w:left="420"/>
        <w:rPr>
          <w:sz w:val="28"/>
          <w:szCs w:val="28"/>
        </w:rPr>
      </w:pPr>
      <w:hyperlink w:anchor="_Toc7002_WPSOffice_Level2" w:history="1">
        <w:r>
          <w:rPr>
            <w:rFonts w:ascii="楷体" w:eastAsia="楷体" w:hAnsi="楷体" w:cs="楷体" w:hint="eastAsia"/>
            <w:sz w:val="28"/>
            <w:szCs w:val="28"/>
          </w:rPr>
          <w:t>（四）制度保障</w:t>
        </w:r>
        <w:r>
          <w:rPr>
            <w:sz w:val="28"/>
            <w:szCs w:val="28"/>
          </w:rPr>
          <w:tab/>
        </w:r>
      </w:hyperlink>
      <w:r>
        <w:rPr>
          <w:rFonts w:hint="eastAsia"/>
          <w:sz w:val="28"/>
          <w:szCs w:val="28"/>
        </w:rPr>
        <w:t>27</w:t>
      </w:r>
    </w:p>
    <w:p>
      <w:pPr>
        <w:pStyle w:val="WPSOffice2"/>
        <w:tabs>
          <w:tab w:val="right" w:leader="dot" w:pos="8980"/>
        </w:tabs>
        <w:spacing w:line="340" w:lineRule="exact"/>
        <w:ind w:left="420"/>
        <w:rPr>
          <w:sz w:val="28"/>
          <w:szCs w:val="28"/>
        </w:rPr>
      </w:pPr>
      <w:hyperlink w:anchor="_Toc310_WPSOffice_Level2" w:history="1">
        <w:r>
          <w:rPr>
            <w:rFonts w:ascii="楷体" w:eastAsia="楷体" w:hAnsi="楷体" w:cs="楷体" w:hint="eastAsia"/>
            <w:sz w:val="28"/>
            <w:szCs w:val="28"/>
          </w:rPr>
          <w:t>（五）体系保障</w:t>
        </w:r>
        <w:r>
          <w:rPr>
            <w:sz w:val="28"/>
            <w:szCs w:val="28"/>
          </w:rPr>
          <w:tab/>
        </w:r>
      </w:hyperlink>
      <w:r>
        <w:rPr>
          <w:rFonts w:hint="eastAsia"/>
          <w:sz w:val="28"/>
          <w:szCs w:val="28"/>
        </w:rPr>
        <w:t>28</w:t>
      </w:r>
    </w:p>
    <w:p>
      <w:pPr>
        <w:pStyle w:val="WPSOffice2"/>
        <w:tabs>
          <w:tab w:val="right" w:leader="dot" w:pos="8980"/>
        </w:tabs>
        <w:spacing w:line="320" w:lineRule="exact"/>
        <w:ind w:left="420"/>
        <w:rPr>
          <w:sz w:val="22"/>
          <w:szCs w:val="22"/>
        </w:rPr>
      </w:pPr>
    </w:p>
    <w:p>
      <w:pPr>
        <w:pStyle w:val="WPSOffice2"/>
        <w:tabs>
          <w:tab w:val="right" w:leader="dot" w:pos="8980"/>
        </w:tabs>
        <w:spacing w:line="320" w:lineRule="exact"/>
        <w:ind w:left="420"/>
        <w:rPr>
          <w:sz w:val="22"/>
          <w:szCs w:val="22"/>
        </w:rPr>
      </w:pPr>
    </w:p>
    <w:p>
      <w:pPr>
        <w:spacing w:line="580" w:lineRule="exact"/>
        <w:jc w:val="center"/>
        <w:rPr>
          <w:rFonts w:ascii="宋体" w:hAnsi="宋体"/>
          <w:b/>
          <w:sz w:val="44"/>
          <w:szCs w:val="44"/>
        </w:rPr>
        <w:sectPr>
          <w:footerReference w:type="default" r:id="rId21"/>
          <w:pgSz w:w="11906" w:h="16838"/>
          <w:pgMar w:top="1327" w:right="1406" w:bottom="1327" w:left="1406" w:header="851" w:footer="992" w:gutter="0"/>
          <w:cols w:space="708"/>
          <w:docGrid w:type="linesAndChars" w:linePitch="312" w:charSpace="0"/>
        </w:sectPr>
      </w:pPr>
      <w:bookmarkStart w:id="56" w:name="_Toc23479_WPSOffice_Level1"/>
      <w:bookmarkEnd w:id="53"/>
    </w:p>
    <w:p>
      <w:pPr>
        <w:spacing w:line="580" w:lineRule="exact"/>
        <w:jc w:val="center"/>
        <w:rPr>
          <w:rFonts w:ascii="宋体" w:hAnsi="宋体"/>
          <w:b/>
          <w:sz w:val="44"/>
          <w:szCs w:val="44"/>
        </w:rPr>
      </w:pPr>
    </w:p>
    <w:p>
      <w:pPr>
        <w:spacing w:line="580" w:lineRule="exact"/>
        <w:jc w:val="center"/>
        <w:rPr>
          <w:rFonts w:ascii="宋体" w:hAnsi="宋体"/>
          <w:b/>
          <w:sz w:val="44"/>
          <w:szCs w:val="44"/>
        </w:rPr>
      </w:pPr>
      <w:r>
        <w:rPr>
          <w:rFonts w:ascii="宋体" w:hAnsi="宋体" w:hint="eastAsia"/>
          <w:b/>
          <w:sz w:val="44"/>
          <w:szCs w:val="44"/>
        </w:rPr>
        <w:t>河北科技学院</w:t>
      </w:r>
      <w:bookmarkEnd w:id="56"/>
    </w:p>
    <w:p>
      <w:pPr>
        <w:spacing w:line="580" w:lineRule="exact"/>
        <w:jc w:val="center"/>
        <w:rPr>
          <w:rFonts w:ascii="宋体" w:hAnsi="宋体"/>
          <w:b/>
          <w:sz w:val="44"/>
          <w:szCs w:val="44"/>
        </w:rPr>
      </w:pPr>
      <w:bookmarkStart w:id="57" w:name="_Toc23151_WPSOffice_Level1"/>
      <w:r>
        <w:rPr>
          <w:rFonts w:ascii="宋体" w:hAnsi="宋体" w:hint="eastAsia"/>
          <w:b/>
          <w:sz w:val="44"/>
          <w:szCs w:val="44"/>
        </w:rPr>
        <w:t>“</w:t>
      </w:r>
      <w:r>
        <w:rPr>
          <w:rFonts w:ascii="宋体" w:hAnsi="宋体" w:hint="eastAsia"/>
          <w:b/>
          <w:sz w:val="44"/>
          <w:szCs w:val="44"/>
        </w:rPr>
        <w:t>十三五</w:t>
      </w:r>
      <w:r>
        <w:rPr>
          <w:rFonts w:ascii="宋体" w:hAnsi="宋体" w:hint="eastAsia"/>
          <w:b/>
          <w:sz w:val="44"/>
          <w:szCs w:val="44"/>
        </w:rPr>
        <w:t>”</w:t>
      </w:r>
      <w:r>
        <w:rPr>
          <w:rFonts w:ascii="宋体" w:hAnsi="宋体" w:hint="eastAsia"/>
          <w:b/>
          <w:sz w:val="44"/>
          <w:szCs w:val="44"/>
        </w:rPr>
        <w:t>学科专业建设规划</w:t>
      </w:r>
      <w:bookmarkEnd w:id="57"/>
    </w:p>
    <w:p>
      <w:pPr>
        <w:spacing w:line="580" w:lineRule="exact"/>
        <w:jc w:val="center"/>
        <w:rPr>
          <w:rFonts w:ascii="仿宋" w:eastAsia="仿宋" w:hAnsi="仿宋" w:cs="宋体"/>
          <w:bCs/>
          <w:kern w:val="0"/>
          <w:sz w:val="30"/>
          <w:szCs w:val="30"/>
        </w:rPr>
      </w:pPr>
      <w:bookmarkStart w:id="58" w:name="_Toc17106_WPSOffice_Level1"/>
      <w:r>
        <w:rPr>
          <w:rFonts w:ascii="仿宋" w:eastAsia="仿宋" w:hAnsi="仿宋" w:cs="宋体" w:hint="eastAsia"/>
          <w:bCs/>
          <w:kern w:val="0"/>
          <w:sz w:val="30"/>
          <w:szCs w:val="30"/>
        </w:rPr>
        <w:t>（2016</w:t>
      </w:r>
      <w:r>
        <w:rPr>
          <w:rFonts w:ascii="仿宋" w:eastAsia="仿宋" w:hAnsi="仿宋" w:cs="宋体" w:hint="eastAsia"/>
          <w:kern w:val="0"/>
          <w:sz w:val="32"/>
          <w:szCs w:val="32"/>
        </w:rPr>
        <w:t>～</w:t>
      </w:r>
      <w:r>
        <w:rPr>
          <w:rFonts w:ascii="仿宋" w:eastAsia="仿宋" w:hAnsi="仿宋" w:cs="宋体" w:hint="eastAsia"/>
          <w:bCs/>
          <w:kern w:val="0"/>
          <w:sz w:val="30"/>
          <w:szCs w:val="30"/>
        </w:rPr>
        <w:t>2020）</w:t>
      </w:r>
      <w:bookmarkEnd w:id="58"/>
    </w:p>
    <w:p>
      <w:pPr>
        <w:spacing w:line="580" w:lineRule="exact"/>
        <w:jc w:val="center"/>
        <w:rPr>
          <w:rFonts w:ascii="仿宋" w:eastAsia="仿宋" w:hAnsi="仿宋"/>
          <w:sz w:val="30"/>
          <w:szCs w:val="30"/>
        </w:rPr>
      </w:pPr>
    </w:p>
    <w:p>
      <w:pPr>
        <w:spacing w:line="580" w:lineRule="exact"/>
        <w:ind w:firstLine="600" w:firstLineChars="200"/>
        <w:rPr>
          <w:rFonts w:ascii="仿宋" w:eastAsia="仿宋" w:hAnsi="仿宋"/>
          <w:sz w:val="30"/>
          <w:szCs w:val="30"/>
        </w:rPr>
      </w:pPr>
      <w:r>
        <w:rPr>
          <w:rFonts w:ascii="仿宋" w:eastAsia="仿宋" w:hAnsi="仿宋" w:hint="eastAsia"/>
          <w:sz w:val="30"/>
          <w:szCs w:val="30"/>
        </w:rPr>
        <w:t>学科专业建设是学校提高办学水平、提升办学层次、实现培养目标，促进学校跨越式发展的客观要求。</w:t>
      </w:r>
      <w:r>
        <w:rPr>
          <w:rFonts w:ascii="仿宋" w:eastAsia="仿宋" w:hAnsi="仿宋" w:cs="仿宋_GB2312" w:hint="eastAsia"/>
          <w:sz w:val="30"/>
          <w:szCs w:val="30"/>
        </w:rPr>
        <w:t>为了适应我国教育改革与发展的新形势，适应地方社会经济发展和人才培养的需要，</w:t>
      </w:r>
      <w:r>
        <w:rPr>
          <w:rFonts w:ascii="仿宋" w:eastAsia="仿宋" w:hAnsi="仿宋" w:cs="宋体" w:hint="eastAsia"/>
          <w:sz w:val="30"/>
          <w:szCs w:val="30"/>
        </w:rPr>
        <w:t>加强学校学科专业建设，优化学科专业结构，构建有竞争优势、特色鲜明、适应经济社会发展需求的学科专业体系，不断提高人才培养质量，</w:t>
      </w:r>
      <w:r>
        <w:rPr>
          <w:rFonts w:ascii="仿宋" w:eastAsia="仿宋" w:hAnsi="仿宋" w:cs="仿宋_GB2312" w:hint="eastAsia"/>
          <w:sz w:val="30"/>
          <w:szCs w:val="30"/>
        </w:rPr>
        <w:t>根据《河北科技学院</w:t>
      </w:r>
      <w:r>
        <w:rPr>
          <w:rFonts w:ascii="仿宋" w:eastAsia="仿宋" w:hAnsi="仿宋" w:cs="仿宋_GB2312" w:hint="eastAsia"/>
          <w:sz w:val="30"/>
          <w:szCs w:val="30"/>
        </w:rPr>
        <w:t>‘</w:t>
      </w:r>
      <w:r>
        <w:rPr>
          <w:rFonts w:ascii="仿宋" w:eastAsia="仿宋" w:hAnsi="仿宋" w:cs="仿宋_GB2312" w:hint="eastAsia"/>
          <w:sz w:val="30"/>
          <w:szCs w:val="30"/>
        </w:rPr>
        <w:t>十三五</w:t>
      </w:r>
      <w:r>
        <w:rPr>
          <w:rFonts w:ascii="仿宋" w:eastAsia="仿宋" w:hAnsi="仿宋" w:cs="仿宋_GB2312" w:hint="eastAsia"/>
          <w:sz w:val="30"/>
          <w:szCs w:val="30"/>
        </w:rPr>
        <w:t>’</w:t>
      </w:r>
      <w:r>
        <w:rPr>
          <w:rFonts w:ascii="仿宋" w:eastAsia="仿宋" w:hAnsi="仿宋" w:cs="仿宋_GB2312" w:hint="eastAsia"/>
          <w:sz w:val="30"/>
          <w:szCs w:val="30"/>
        </w:rPr>
        <w:t>教育事业发展规划》，</w:t>
      </w:r>
      <w:r>
        <w:rPr>
          <w:rFonts w:ascii="仿宋" w:eastAsia="仿宋" w:hAnsi="仿宋" w:hint="eastAsia"/>
          <w:sz w:val="30"/>
          <w:szCs w:val="30"/>
        </w:rPr>
        <w:t>特制定本规划。</w:t>
      </w:r>
    </w:p>
    <w:p>
      <w:pPr>
        <w:spacing w:line="580" w:lineRule="exact"/>
        <w:ind w:firstLine="600" w:firstLineChars="200"/>
        <w:rPr>
          <w:rFonts w:ascii="黑体" w:eastAsia="黑体" w:hAnsi="黑体" w:cs="黑体"/>
          <w:sz w:val="30"/>
          <w:szCs w:val="30"/>
        </w:rPr>
      </w:pPr>
      <w:bookmarkStart w:id="59" w:name="_Toc29847_WPSOffice_Level1"/>
      <w:r>
        <w:rPr>
          <w:rFonts w:ascii="黑体" w:eastAsia="黑体" w:hAnsi="黑体" w:cs="黑体" w:hint="eastAsia"/>
          <w:sz w:val="30"/>
          <w:szCs w:val="30"/>
        </w:rPr>
        <w:t>一、</w:t>
      </w:r>
      <w:r>
        <w:rPr>
          <w:rFonts w:ascii="黑体" w:eastAsia="黑体" w:hAnsi="黑体" w:cs="黑体" w:hint="eastAsia"/>
          <w:b/>
          <w:sz w:val="30"/>
          <w:szCs w:val="30"/>
        </w:rPr>
        <w:t>发展基础</w:t>
      </w:r>
      <w:bookmarkEnd w:id="59"/>
    </w:p>
    <w:p>
      <w:pPr>
        <w:spacing w:line="580" w:lineRule="exact"/>
        <w:ind w:firstLine="600" w:firstLineChars="200"/>
        <w:rPr>
          <w:rFonts w:ascii="楷体" w:eastAsia="楷体" w:hAnsi="楷体" w:cs="楷体"/>
          <w:b/>
          <w:bCs/>
          <w:sz w:val="30"/>
          <w:szCs w:val="30"/>
        </w:rPr>
      </w:pPr>
      <w:bookmarkStart w:id="60" w:name="_Toc23151_WPSOffice_Level2"/>
      <w:r>
        <w:rPr>
          <w:rFonts w:ascii="楷体" w:eastAsia="楷体" w:hAnsi="楷体" w:cs="楷体" w:hint="eastAsia"/>
          <w:b/>
          <w:bCs/>
          <w:sz w:val="30"/>
          <w:szCs w:val="30"/>
        </w:rPr>
        <w:t>（一）发展现状</w:t>
      </w:r>
      <w:bookmarkEnd w:id="60"/>
    </w:p>
    <w:p>
      <w:pPr>
        <w:spacing w:line="580" w:lineRule="exact"/>
        <w:ind w:firstLine="600" w:firstLineChars="200"/>
        <w:rPr>
          <w:rFonts w:ascii="仿宋" w:eastAsia="仿宋" w:hAnsi="仿宋"/>
          <w:b/>
          <w:bCs/>
          <w:sz w:val="30"/>
          <w:szCs w:val="30"/>
        </w:rPr>
      </w:pPr>
      <w:bookmarkStart w:id="61" w:name="_Toc23151_WPSOffice_Level3"/>
      <w:r>
        <w:rPr>
          <w:rFonts w:ascii="仿宋" w:eastAsia="仿宋" w:hAnsi="仿宋" w:hint="eastAsia"/>
          <w:b/>
          <w:bCs/>
          <w:sz w:val="30"/>
          <w:szCs w:val="30"/>
        </w:rPr>
        <w:t>1.初步形成较为合理的学科专业结构</w:t>
      </w:r>
      <w:bookmarkEnd w:id="61"/>
    </w:p>
    <w:p>
      <w:pPr>
        <w:spacing w:line="580" w:lineRule="exact"/>
        <w:ind w:firstLine="600" w:firstLineChars="200"/>
        <w:rPr>
          <w:rFonts w:ascii="仿宋" w:eastAsia="仿宋" w:hAnsi="仿宋"/>
          <w:sz w:val="30"/>
          <w:szCs w:val="30"/>
        </w:rPr>
      </w:pPr>
      <w:r>
        <w:rPr>
          <w:rFonts w:ascii="仿宋" w:eastAsia="仿宋" w:hAnsi="仿宋" w:hint="eastAsia"/>
          <w:sz w:val="30"/>
          <w:szCs w:val="30"/>
        </w:rPr>
        <w:t>自2011年升格为本科院校以来，学校以区域经济社会发展需求为导向进行学科专业建设，稳步增加本科专业，逐步调减专科专业,本科专业增至23个，专科专业由原来47个调减为32个。现有在校学生9745人。</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23个本科专业涵盖了工学、管理学、经济学、艺术学4个学科门类；覆盖机械类、计算机类、土木类、交通运输类、电子信息类、工商管理类、经济与贸易类、戏剧与影视学类、设计学类、音乐与舞蹈学类、物流管理与工程类等11个专业类，初步形成了以工为主，工学、管理学、经济学、艺术学多学科协调发展的学科专业布局（见附表1）。</w:t>
      </w:r>
    </w:p>
    <w:p>
      <w:pPr>
        <w:spacing w:line="580" w:lineRule="exact"/>
        <w:ind w:firstLine="600" w:firstLineChars="200"/>
        <w:rPr>
          <w:rFonts w:ascii="仿宋" w:eastAsia="仿宋" w:hAnsi="仿宋"/>
          <w:b/>
          <w:bCs/>
          <w:sz w:val="30"/>
          <w:szCs w:val="30"/>
        </w:rPr>
      </w:pPr>
      <w:bookmarkStart w:id="62" w:name="_Toc17106_WPSOffice_Level3"/>
      <w:r>
        <w:rPr>
          <w:rFonts w:ascii="仿宋" w:eastAsia="仿宋" w:hAnsi="仿宋" w:hint="eastAsia"/>
          <w:b/>
          <w:bCs/>
          <w:sz w:val="30"/>
          <w:szCs w:val="30"/>
        </w:rPr>
        <w:t>2.学科专业结构契合地方产业结构</w:t>
      </w:r>
      <w:bookmarkEnd w:id="62"/>
    </w:p>
    <w:p>
      <w:pPr>
        <w:spacing w:line="580" w:lineRule="exact"/>
        <w:ind w:firstLine="600" w:firstLineChars="200"/>
        <w:rPr>
          <w:rFonts w:ascii="仿宋" w:eastAsia="仿宋" w:hAnsi="仿宋"/>
          <w:sz w:val="30"/>
          <w:szCs w:val="30"/>
        </w:rPr>
        <w:sectPr>
          <w:footerReference w:type="even" r:id="rId22"/>
          <w:footerReference w:type="default" r:id="rId23"/>
          <w:pgSz w:w="11906" w:h="16838"/>
          <w:pgMar w:top="1327" w:right="1406" w:bottom="1327" w:left="1406" w:header="851" w:footer="992" w:gutter="0"/>
          <w:cols w:space="708"/>
          <w:docGrid w:type="linesAndChars" w:linePitch="312" w:charSpace="0"/>
        </w:sectPr>
      </w:pPr>
    </w:p>
    <w:p>
      <w:pPr>
        <w:spacing w:line="580" w:lineRule="exact"/>
        <w:ind w:firstLine="600" w:firstLineChars="200"/>
        <w:rPr>
          <w:rFonts w:ascii="仿宋" w:eastAsia="仿宋" w:hAnsi="仿宋"/>
          <w:sz w:val="30"/>
          <w:szCs w:val="30"/>
        </w:rPr>
      </w:pPr>
      <w:r>
        <w:rPr>
          <w:rFonts w:ascii="仿宋" w:eastAsia="仿宋" w:hAnsi="仿宋" w:hint="eastAsia"/>
          <w:sz w:val="30"/>
          <w:szCs w:val="30"/>
        </w:rPr>
        <w:t>自升本以来，学校紧紧围绕京津冀区域特别是保定经济社会发展现状，聚焦区域支柱产业和优势产业岗位（群）人才的需求，稳步增设本科专业，形成了以机械设计制造及其自动化专业为龙头的智能制造类专业群，以土木工程为龙头的土木建筑类专业群，以车辆工程专业为龙头的汽车工程类专业群，以环境设计专业为龙头的文化艺术类专业群，以会计学专业为龙头的现代服务类专业群的五大重点优势专业集群（见附表2）。学科专业结构趋向合理，与保定市乃至京津冀区域经济社会发展人才的需求方向的吻合度较高。</w:t>
      </w:r>
    </w:p>
    <w:p>
      <w:pPr>
        <w:spacing w:line="580" w:lineRule="exact"/>
        <w:ind w:firstLine="600" w:firstLineChars="200"/>
        <w:rPr>
          <w:rFonts w:ascii="仿宋" w:eastAsia="仿宋" w:hAnsi="仿宋"/>
          <w:b/>
          <w:bCs/>
          <w:sz w:val="30"/>
          <w:szCs w:val="30"/>
        </w:rPr>
      </w:pPr>
      <w:r>
        <w:rPr>
          <w:rFonts w:ascii="仿宋" w:eastAsia="仿宋" w:hAnsi="仿宋" w:hint="eastAsia"/>
          <w:b/>
          <w:bCs/>
          <w:sz w:val="30"/>
          <w:szCs w:val="30"/>
        </w:rPr>
        <w:t>3.师资数量满足要求、结构基本合理</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师资队伍相对稳定，专任教师共计</w:t>
      </w:r>
      <w:r>
        <w:rPr>
          <w:rFonts w:ascii="仿宋" w:eastAsia="仿宋" w:hAnsi="仿宋" w:hint="eastAsia"/>
          <w:sz w:val="30"/>
          <w:szCs w:val="30"/>
          <w:u w:val="single"/>
        </w:rPr>
        <w:t>498</w:t>
      </w:r>
      <w:r>
        <w:rPr>
          <w:rFonts w:ascii="仿宋" w:eastAsia="仿宋" w:hAnsi="仿宋" w:hint="eastAsia"/>
          <w:sz w:val="30"/>
          <w:szCs w:val="30"/>
        </w:rPr>
        <w:t>人，其中具有研究生及以上学历教师占62%，副高及以上职称教师占38%，</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型教师队伍已初具规模。</w:t>
      </w:r>
    </w:p>
    <w:p>
      <w:pPr>
        <w:spacing w:line="580" w:lineRule="exact"/>
        <w:ind w:firstLine="600" w:firstLineChars="200"/>
        <w:rPr>
          <w:rFonts w:ascii="仿宋" w:eastAsia="仿宋" w:hAnsi="仿宋"/>
          <w:b/>
          <w:bCs/>
          <w:sz w:val="30"/>
          <w:szCs w:val="30"/>
        </w:rPr>
      </w:pPr>
      <w:bookmarkStart w:id="63" w:name="_Toc29847_WPSOffice_Level3"/>
      <w:r>
        <w:rPr>
          <w:rFonts w:ascii="仿宋" w:eastAsia="仿宋" w:hAnsi="仿宋" w:hint="eastAsia"/>
          <w:b/>
          <w:bCs/>
          <w:sz w:val="30"/>
          <w:szCs w:val="30"/>
        </w:rPr>
        <w:t>4.教学、科研质量稳步提高</w:t>
      </w:r>
      <w:bookmarkEnd w:id="63"/>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学校突出教学中心地位，不断提升教学质量。以社会主义核心价值观为主线，融合优秀传统文化、军营文化、产业文化、大学文化，构建思政育人、文化育人、专业育人、实践育人</w:t>
      </w:r>
      <w:r>
        <w:rPr>
          <w:rFonts w:ascii="仿宋" w:eastAsia="仿宋" w:hAnsi="仿宋" w:hint="eastAsia"/>
          <w:sz w:val="30"/>
          <w:szCs w:val="30"/>
        </w:rPr>
        <w:t>“</w:t>
      </w:r>
      <w:r>
        <w:rPr>
          <w:rFonts w:ascii="仿宋" w:eastAsia="仿宋" w:hAnsi="仿宋" w:hint="eastAsia"/>
          <w:sz w:val="30"/>
          <w:szCs w:val="30"/>
        </w:rPr>
        <w:t>四位一体</w:t>
      </w:r>
      <w:r>
        <w:rPr>
          <w:rFonts w:ascii="仿宋" w:eastAsia="仿宋" w:hAnsi="仿宋" w:hint="eastAsia"/>
          <w:sz w:val="30"/>
          <w:szCs w:val="30"/>
        </w:rPr>
        <w:t>”</w:t>
      </w:r>
      <w:r>
        <w:rPr>
          <w:rFonts w:ascii="仿宋" w:eastAsia="仿宋" w:hAnsi="仿宋" w:hint="eastAsia"/>
          <w:sz w:val="30"/>
          <w:szCs w:val="30"/>
        </w:rPr>
        <w:t>的德育体系，形成学校自身德育特色。打造实习实训基地平台、社会实践活动平台、校园文化活动平台，不断深化实践育人工作。紧扣应用型人才培养目标，精心设计培养方案，优化课程结构，不断夯实学生基本理论与基本技能。积极推进实践教学改革，不断优化课程体系，促进学生知识、能力和素质协调发展。建立了教学大纲审查论证机制，重视教学大纲的制定和管理，严格要求按照人才培养目标编写教学大纲，保证教学大纲落实到位。建立了科学的教材选用制度，保证优质教材进入课堂，确保教材选用适合应用型人才培养的需求。</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有省级重点发展学科专业1个，省级示范教学中心1个，省级教学成果奖1项。共建校级特色专业7个，其中有汽车服务工程、机械设计制造及其自动化、土木工程3个本科专业，汽车检测与维修技术、机电一体化技术、烹饪工艺与营养、工程造价4个专科专业。</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科研工作取得较大进展，</w:t>
      </w:r>
      <w:r>
        <w:rPr>
          <w:rFonts w:ascii="仿宋" w:eastAsia="仿宋" w:hAnsi="仿宋" w:hint="eastAsia"/>
          <w:sz w:val="30"/>
          <w:szCs w:val="30"/>
        </w:rPr>
        <w:t>“</w:t>
      </w:r>
      <w:r>
        <w:rPr>
          <w:rFonts w:ascii="仿宋" w:eastAsia="仿宋" w:hAnsi="仿宋" w:hint="eastAsia"/>
          <w:sz w:val="30"/>
          <w:szCs w:val="30"/>
        </w:rPr>
        <w:t>十二五</w:t>
      </w:r>
      <w:r>
        <w:rPr>
          <w:rFonts w:ascii="仿宋" w:eastAsia="仿宋" w:hAnsi="仿宋" w:hint="eastAsia"/>
          <w:sz w:val="30"/>
          <w:szCs w:val="30"/>
        </w:rPr>
        <w:t>”</w:t>
      </w:r>
      <w:r>
        <w:rPr>
          <w:rFonts w:ascii="仿宋" w:eastAsia="仿宋" w:hAnsi="仿宋" w:hint="eastAsia"/>
          <w:sz w:val="30"/>
          <w:szCs w:val="30"/>
        </w:rPr>
        <w:t>期间学校承担或参与厅局级以上科研及教改项目69项，出版著作与教材155部，省级以上学术专业期刊发表论文214篇，获厅局级以上奖励130项。</w:t>
      </w:r>
    </w:p>
    <w:p>
      <w:pPr>
        <w:spacing w:line="580" w:lineRule="exact"/>
        <w:ind w:firstLine="600" w:firstLineChars="200"/>
        <w:rPr>
          <w:rFonts w:ascii="楷体" w:eastAsia="楷体" w:hAnsi="楷体" w:cs="楷体"/>
          <w:b/>
          <w:bCs/>
          <w:sz w:val="30"/>
          <w:szCs w:val="30"/>
        </w:rPr>
      </w:pPr>
      <w:bookmarkStart w:id="64" w:name="_Toc17106_WPSOffice_Level2"/>
      <w:r>
        <w:rPr>
          <w:rFonts w:ascii="楷体" w:eastAsia="楷体" w:hAnsi="楷体" w:cs="楷体" w:hint="eastAsia"/>
          <w:b/>
          <w:bCs/>
          <w:sz w:val="30"/>
          <w:szCs w:val="30"/>
        </w:rPr>
        <w:t>（二）存在的问题</w:t>
      </w:r>
      <w:bookmarkEnd w:id="64"/>
    </w:p>
    <w:p>
      <w:pPr>
        <w:spacing w:line="580" w:lineRule="exact"/>
        <w:ind w:firstLine="600" w:firstLineChars="200"/>
        <w:rPr>
          <w:rFonts w:ascii="仿宋" w:eastAsia="仿宋" w:hAnsi="仿宋"/>
          <w:b/>
          <w:bCs/>
          <w:sz w:val="30"/>
          <w:szCs w:val="30"/>
        </w:rPr>
      </w:pPr>
      <w:bookmarkStart w:id="65" w:name="_Toc23980_WPSOffice_Level3"/>
      <w:r>
        <w:rPr>
          <w:rFonts w:ascii="仿宋" w:eastAsia="仿宋" w:hAnsi="仿宋" w:hint="eastAsia"/>
          <w:b/>
          <w:bCs/>
          <w:sz w:val="30"/>
          <w:szCs w:val="30"/>
        </w:rPr>
        <w:t>1.专业结构有待进一步优化</w:t>
      </w:r>
      <w:bookmarkEnd w:id="65"/>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升本以来，本科专业数量逐年增加，但专科专业存量较大，本、专科专业结构间存在较大的转换、调整空间，学科专业层次的提升还有较大差距。适应地方经济社会发展的专业集群尚未完全建设到位，还不能充分满足地方经济社会发展对应用型人才的需求，特别是对专业人才缺口较大的领域有待进一步拓展。专业集群内的专业链对接区域产业链有待进一步优化和深化。</w:t>
      </w:r>
    </w:p>
    <w:p>
      <w:pPr>
        <w:spacing w:line="580" w:lineRule="exact"/>
        <w:ind w:firstLine="600" w:firstLineChars="200"/>
        <w:rPr>
          <w:rFonts w:ascii="仿宋" w:eastAsia="仿宋" w:hAnsi="仿宋"/>
          <w:b/>
          <w:bCs/>
          <w:sz w:val="30"/>
          <w:szCs w:val="30"/>
        </w:rPr>
      </w:pPr>
      <w:bookmarkStart w:id="66" w:name="_Toc32153_WPSOffice_Level3"/>
      <w:r>
        <w:rPr>
          <w:rFonts w:ascii="仿宋" w:eastAsia="仿宋" w:hAnsi="仿宋" w:hint="eastAsia"/>
          <w:b/>
          <w:bCs/>
          <w:sz w:val="30"/>
          <w:szCs w:val="30"/>
        </w:rPr>
        <w:t>2.学科专业特色建设成效不显著</w:t>
      </w:r>
      <w:bookmarkEnd w:id="66"/>
    </w:p>
    <w:p>
      <w:pPr>
        <w:spacing w:line="580" w:lineRule="exact"/>
        <w:ind w:firstLine="600" w:firstLineChars="200"/>
        <w:rPr>
          <w:rFonts w:ascii="仿宋" w:eastAsia="仿宋" w:hAnsi="仿宋"/>
          <w:sz w:val="30"/>
          <w:szCs w:val="30"/>
        </w:rPr>
      </w:pPr>
      <w:r>
        <w:rPr>
          <w:rFonts w:ascii="仿宋" w:eastAsia="仿宋" w:hAnsi="仿宋" w:hint="eastAsia"/>
          <w:sz w:val="30"/>
          <w:szCs w:val="30"/>
        </w:rPr>
        <w:t>现有重点培育和建设的专业数量偏少、质量还有待进一步提高，实验仪器设施还不够完善，较高水平的教学科研成果有待突破。专业集群建设还不平衡，特色还不够突出，服务区域经济社会水平有一定差距。</w:t>
      </w:r>
    </w:p>
    <w:p>
      <w:pPr>
        <w:spacing w:line="580" w:lineRule="exact"/>
        <w:ind w:firstLine="600" w:firstLineChars="200"/>
        <w:rPr>
          <w:rFonts w:ascii="仿宋" w:eastAsia="仿宋" w:hAnsi="仿宋"/>
          <w:b/>
          <w:bCs/>
          <w:sz w:val="30"/>
          <w:szCs w:val="30"/>
        </w:rPr>
      </w:pPr>
      <w:bookmarkStart w:id="67" w:name="_Toc2307_WPSOffice_Level3"/>
      <w:r>
        <w:rPr>
          <w:rFonts w:ascii="仿宋" w:eastAsia="仿宋" w:hAnsi="仿宋" w:hint="eastAsia"/>
          <w:b/>
          <w:bCs/>
          <w:sz w:val="30"/>
          <w:szCs w:val="30"/>
        </w:rPr>
        <w:t>3.教师队伍整体水平有待提高</w:t>
      </w:r>
      <w:bookmarkEnd w:id="67"/>
    </w:p>
    <w:p>
      <w:pPr>
        <w:spacing w:line="580" w:lineRule="exact"/>
        <w:ind w:firstLine="600" w:firstLineChars="200"/>
        <w:rPr>
          <w:rFonts w:ascii="仿宋" w:eastAsia="仿宋" w:hAnsi="仿宋"/>
          <w:sz w:val="30"/>
          <w:szCs w:val="30"/>
        </w:rPr>
      </w:pPr>
      <w:r>
        <w:rPr>
          <w:rFonts w:ascii="仿宋" w:eastAsia="仿宋" w:hAnsi="仿宋" w:hint="eastAsia"/>
          <w:sz w:val="30"/>
          <w:szCs w:val="30"/>
        </w:rPr>
        <w:t>教师队伍年龄结构呈</w:t>
      </w:r>
      <w:r>
        <w:rPr>
          <w:rFonts w:ascii="仿宋" w:eastAsia="仿宋" w:hAnsi="仿宋" w:hint="eastAsia"/>
          <w:sz w:val="30"/>
          <w:szCs w:val="30"/>
        </w:rPr>
        <w:t>“</w:t>
      </w:r>
      <w:r>
        <w:rPr>
          <w:rFonts w:ascii="仿宋" w:eastAsia="仿宋" w:hAnsi="仿宋" w:hint="eastAsia"/>
          <w:sz w:val="30"/>
          <w:szCs w:val="30"/>
        </w:rPr>
        <w:t>哑铃</w:t>
      </w:r>
      <w:r>
        <w:rPr>
          <w:rFonts w:ascii="仿宋" w:eastAsia="仿宋" w:hAnsi="仿宋" w:hint="eastAsia"/>
          <w:sz w:val="30"/>
          <w:szCs w:val="30"/>
        </w:rPr>
        <w:t>”</w:t>
      </w:r>
      <w:r>
        <w:rPr>
          <w:rFonts w:ascii="仿宋" w:eastAsia="仿宋" w:hAnsi="仿宋" w:hint="eastAsia"/>
          <w:sz w:val="30"/>
          <w:szCs w:val="30"/>
        </w:rPr>
        <w:t>状，青年教师的培养培训力度有待进一步加强，青年教师教学水平有待进一步提升。高水平学术带头人偏少，</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型教师数量相对不足，教学团队和基层教学体系建设有待进一步强化。具有一定竞争力的科研和创新团队尚未形成。</w:t>
      </w:r>
    </w:p>
    <w:p>
      <w:pPr>
        <w:spacing w:line="580" w:lineRule="exact"/>
        <w:ind w:firstLine="600" w:firstLineChars="200"/>
        <w:rPr>
          <w:rFonts w:ascii="仿宋" w:eastAsia="仿宋" w:hAnsi="仿宋"/>
          <w:b/>
          <w:bCs/>
          <w:sz w:val="30"/>
          <w:szCs w:val="30"/>
        </w:rPr>
      </w:pPr>
      <w:bookmarkStart w:id="68" w:name="_Toc29925_WPSOffice_Level3"/>
      <w:r>
        <w:rPr>
          <w:rFonts w:ascii="仿宋" w:eastAsia="仿宋" w:hAnsi="仿宋" w:hint="eastAsia"/>
          <w:b/>
          <w:bCs/>
          <w:sz w:val="30"/>
          <w:szCs w:val="30"/>
        </w:rPr>
        <w:t>4.实践教学条件建设有待进一步强化</w:t>
      </w:r>
      <w:bookmarkEnd w:id="68"/>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新建本科专业比较多，投放新建专业的经费还不充足，实验教学条件建设任务比较重；校外实习实训基地建设有待深化，特别是新建专业主动对接校外实习实训基地的积极性有待提高；校企合作的深度和广度有待进一步深化，社会资源在校园内集聚的效果不明显。</w:t>
      </w:r>
    </w:p>
    <w:p>
      <w:pPr>
        <w:spacing w:line="580" w:lineRule="exact"/>
        <w:ind w:firstLine="600" w:firstLineChars="200"/>
        <w:rPr>
          <w:rFonts w:ascii="仿宋" w:eastAsia="仿宋" w:hAnsi="仿宋"/>
          <w:b/>
          <w:bCs/>
          <w:sz w:val="30"/>
          <w:szCs w:val="30"/>
        </w:rPr>
      </w:pPr>
      <w:bookmarkStart w:id="69" w:name="_Toc22479_WPSOffice_Level3"/>
      <w:r>
        <w:rPr>
          <w:rFonts w:ascii="仿宋" w:eastAsia="仿宋" w:hAnsi="仿宋" w:hint="eastAsia"/>
          <w:b/>
          <w:bCs/>
          <w:sz w:val="30"/>
          <w:szCs w:val="30"/>
        </w:rPr>
        <w:t>5.教学改革有待进一步深入</w:t>
      </w:r>
      <w:bookmarkEnd w:id="69"/>
    </w:p>
    <w:p>
      <w:pPr>
        <w:spacing w:line="580" w:lineRule="exact"/>
        <w:ind w:firstLine="600" w:firstLineChars="200"/>
        <w:rPr>
          <w:rFonts w:ascii="仿宋" w:eastAsia="仿宋" w:hAnsi="仿宋"/>
          <w:sz w:val="30"/>
          <w:szCs w:val="30"/>
        </w:rPr>
      </w:pPr>
      <w:r>
        <w:rPr>
          <w:rFonts w:ascii="仿宋" w:eastAsia="仿宋" w:hAnsi="仿宋" w:hint="eastAsia"/>
          <w:sz w:val="30"/>
          <w:szCs w:val="30"/>
        </w:rPr>
        <w:t>人才培养模式、教学内容和课程改革尚需强化。合格课程建设工作有待全覆盖，重点课程、精品课程建设处于起步状态。</w:t>
      </w:r>
    </w:p>
    <w:p>
      <w:pPr>
        <w:spacing w:line="580" w:lineRule="exact"/>
        <w:ind w:firstLine="600" w:firstLineChars="200"/>
        <w:rPr>
          <w:rFonts w:ascii="仿宋" w:eastAsia="仿宋" w:hAnsi="仿宋"/>
          <w:b/>
          <w:bCs/>
          <w:sz w:val="30"/>
          <w:szCs w:val="30"/>
        </w:rPr>
      </w:pPr>
      <w:bookmarkStart w:id="70" w:name="_Toc2188_WPSOffice_Level3"/>
      <w:r>
        <w:rPr>
          <w:rFonts w:ascii="仿宋" w:eastAsia="仿宋" w:hAnsi="仿宋" w:hint="eastAsia"/>
          <w:b/>
          <w:bCs/>
          <w:sz w:val="30"/>
          <w:szCs w:val="30"/>
        </w:rPr>
        <w:t>6.产学研合作办学体系还不完善</w:t>
      </w:r>
      <w:bookmarkEnd w:id="70"/>
      <w:r>
        <w:rPr>
          <w:rFonts w:ascii="仿宋" w:eastAsia="仿宋" w:hAnsi="仿宋" w:hint="eastAsia"/>
          <w:b/>
          <w:bCs/>
          <w:sz w:val="30"/>
          <w:szCs w:val="30"/>
        </w:rPr>
        <w:t xml:space="preserve"> </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现有的合作办学形式过于单一，部分合作意向有待进一步落实。教师深入企业、服务企业的意识不强，服务企业的能力有待提高。产学研合作办学对促进教学改革、提高人才培养质量的作用体现不明显。</w:t>
      </w:r>
    </w:p>
    <w:p>
      <w:pPr>
        <w:spacing w:line="580" w:lineRule="exact"/>
        <w:ind w:firstLine="600" w:firstLineChars="200"/>
        <w:rPr>
          <w:rFonts w:ascii="黑体" w:eastAsia="黑体" w:hAnsi="黑体" w:cs="黑体"/>
          <w:sz w:val="30"/>
          <w:szCs w:val="30"/>
        </w:rPr>
      </w:pPr>
      <w:bookmarkStart w:id="71" w:name="_Toc14125_WPSOffice_Level1"/>
      <w:r>
        <w:rPr>
          <w:rFonts w:ascii="黑体" w:eastAsia="黑体" w:hAnsi="黑体" w:cs="黑体" w:hint="eastAsia"/>
          <w:sz w:val="30"/>
          <w:szCs w:val="30"/>
        </w:rPr>
        <w:t>二、</w:t>
      </w:r>
      <w:bookmarkEnd w:id="71"/>
      <w:r>
        <w:rPr>
          <w:rFonts w:ascii="黑体" w:eastAsia="黑体" w:hAnsi="黑体" w:cs="黑体" w:hint="eastAsia"/>
          <w:sz w:val="30"/>
          <w:szCs w:val="30"/>
        </w:rPr>
        <w:t>指导思想与建设目标</w:t>
      </w:r>
    </w:p>
    <w:p>
      <w:pPr>
        <w:spacing w:line="580" w:lineRule="exact"/>
        <w:ind w:firstLine="600" w:firstLineChars="200"/>
        <w:rPr>
          <w:rFonts w:ascii="楷体" w:eastAsia="楷体" w:hAnsi="楷体" w:cs="楷体"/>
          <w:b/>
          <w:bCs/>
          <w:sz w:val="30"/>
          <w:szCs w:val="30"/>
        </w:rPr>
      </w:pPr>
      <w:bookmarkStart w:id="72" w:name="_Toc29847_WPSOffice_Level2"/>
      <w:bookmarkStart w:id="73" w:name="_Toc476124580"/>
      <w:bookmarkStart w:id="74" w:name="_Toc475460657"/>
      <w:r>
        <w:rPr>
          <w:rFonts w:ascii="楷体" w:eastAsia="楷体" w:hAnsi="楷体" w:cs="楷体" w:hint="eastAsia"/>
          <w:b/>
          <w:bCs/>
          <w:sz w:val="30"/>
          <w:szCs w:val="30"/>
        </w:rPr>
        <w:t>（一）指导思想</w:t>
      </w:r>
      <w:bookmarkEnd w:id="72"/>
      <w:bookmarkEnd w:id="73"/>
      <w:bookmarkEnd w:id="74"/>
    </w:p>
    <w:p>
      <w:pPr>
        <w:spacing w:line="580" w:lineRule="exact"/>
        <w:ind w:firstLine="600" w:firstLineChars="200"/>
        <w:rPr>
          <w:rFonts w:ascii="仿宋" w:eastAsia="仿宋" w:hAnsi="仿宋"/>
          <w:sz w:val="30"/>
          <w:szCs w:val="30"/>
        </w:rPr>
      </w:pPr>
      <w:r>
        <w:rPr>
          <w:rFonts w:ascii="仿宋" w:eastAsia="仿宋" w:hAnsi="仿宋" w:hint="eastAsia"/>
          <w:sz w:val="30"/>
          <w:szCs w:val="30"/>
        </w:rPr>
        <w:t>以服务地方经济社会发展为动力，强化学科专业建设与地方经济社会发展的互动结合，按照</w:t>
      </w:r>
      <w:r>
        <w:rPr>
          <w:rFonts w:ascii="仿宋" w:eastAsia="仿宋" w:hAnsi="仿宋" w:hint="eastAsia"/>
          <w:sz w:val="30"/>
          <w:szCs w:val="30"/>
        </w:rPr>
        <w:t>“</w:t>
      </w:r>
      <w:r>
        <w:rPr>
          <w:rFonts w:ascii="仿宋" w:eastAsia="仿宋" w:hAnsi="仿宋" w:hint="eastAsia"/>
          <w:sz w:val="30"/>
          <w:szCs w:val="30"/>
        </w:rPr>
        <w:t>统筹规划，分类指导，集群建设、重点突破、形成特色</w:t>
      </w:r>
      <w:r>
        <w:rPr>
          <w:rFonts w:ascii="仿宋" w:eastAsia="仿宋" w:hAnsi="仿宋" w:hint="eastAsia"/>
          <w:sz w:val="30"/>
          <w:szCs w:val="30"/>
        </w:rPr>
        <w:t>”</w:t>
      </w:r>
      <w:r>
        <w:rPr>
          <w:rFonts w:ascii="仿宋" w:eastAsia="仿宋" w:hAnsi="仿宋" w:hint="eastAsia"/>
          <w:sz w:val="30"/>
          <w:szCs w:val="30"/>
        </w:rPr>
        <w:t>的学科专业建设原则，围绕产业链、创新链调整学科专业设置，形成特色专业。</w:t>
      </w:r>
    </w:p>
    <w:p>
      <w:pPr>
        <w:spacing w:line="580" w:lineRule="exact"/>
        <w:ind w:firstLine="600" w:firstLineChars="200"/>
        <w:rPr>
          <w:rFonts w:ascii="楷体" w:eastAsia="楷体" w:hAnsi="楷体" w:cs="楷体"/>
          <w:b/>
          <w:bCs/>
          <w:sz w:val="30"/>
          <w:szCs w:val="30"/>
        </w:rPr>
      </w:pPr>
      <w:r>
        <w:rPr>
          <w:rFonts w:ascii="楷体" w:eastAsia="楷体" w:hAnsi="楷体" w:cs="楷体" w:hint="eastAsia"/>
          <w:b/>
          <w:bCs/>
          <w:sz w:val="30"/>
          <w:szCs w:val="30"/>
        </w:rPr>
        <w:t>（二）建设目标</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到</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末，学科门类达到5个，本科设置专业数量控制在35个以内（见附表3）；积极推进专业集群建设，力争省级重点建设学科专业达到2～3个。完成护理学、助产学和康复治疗学本科专业的设置突破，努力打造医护医技专业群。新增2个省级实验教学示范中心。加强教学团队建设，以细化和完善基层教学组织建设为抓手，建立一批校级优秀教学团队，力争实现省级教学团队的突破。</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强化学术骨干教师培养，为</w:t>
      </w:r>
      <w:r>
        <w:rPr>
          <w:rFonts w:ascii="仿宋" w:eastAsia="仿宋" w:hAnsi="仿宋" w:hint="eastAsia"/>
          <w:sz w:val="30"/>
          <w:szCs w:val="30"/>
        </w:rPr>
        <w:t>“</w:t>
      </w:r>
      <w:r>
        <w:rPr>
          <w:rFonts w:ascii="仿宋" w:eastAsia="仿宋" w:hAnsi="仿宋" w:hint="eastAsia"/>
          <w:sz w:val="30"/>
          <w:szCs w:val="30"/>
        </w:rPr>
        <w:t>河北省硕士立项建设单位</w:t>
      </w:r>
      <w:r>
        <w:rPr>
          <w:rFonts w:ascii="仿宋" w:eastAsia="仿宋" w:hAnsi="仿宋" w:hint="eastAsia"/>
          <w:sz w:val="30"/>
          <w:szCs w:val="30"/>
        </w:rPr>
        <w:t>”</w:t>
      </w:r>
      <w:r>
        <w:rPr>
          <w:rFonts w:ascii="仿宋" w:eastAsia="仿宋" w:hAnsi="仿宋" w:hint="eastAsia"/>
          <w:sz w:val="30"/>
          <w:szCs w:val="30"/>
        </w:rPr>
        <w:t>的验收奠定基础。</w:t>
      </w:r>
    </w:p>
    <w:p>
      <w:pPr>
        <w:spacing w:line="580" w:lineRule="exact"/>
        <w:ind w:firstLine="600" w:firstLineChars="200"/>
        <w:rPr>
          <w:rFonts w:ascii="黑体" w:eastAsia="黑体" w:hAnsi="黑体" w:cs="黑体"/>
          <w:sz w:val="30"/>
          <w:szCs w:val="30"/>
        </w:rPr>
      </w:pPr>
      <w:bookmarkStart w:id="75" w:name="_Toc23980_WPSOffice_Level1"/>
      <w:r>
        <w:rPr>
          <w:rFonts w:ascii="黑体" w:eastAsia="黑体" w:hAnsi="黑体" w:cs="黑体" w:hint="eastAsia"/>
          <w:sz w:val="30"/>
          <w:szCs w:val="30"/>
        </w:rPr>
        <w:t>三、主要</w:t>
      </w:r>
      <w:bookmarkEnd w:id="75"/>
      <w:r>
        <w:rPr>
          <w:rFonts w:ascii="黑体" w:eastAsia="黑体" w:hAnsi="黑体" w:cs="黑体" w:hint="eastAsia"/>
          <w:sz w:val="30"/>
          <w:szCs w:val="30"/>
        </w:rPr>
        <w:t>举措</w:t>
      </w:r>
    </w:p>
    <w:p>
      <w:pPr>
        <w:spacing w:line="580" w:lineRule="exact"/>
        <w:ind w:firstLine="600" w:firstLineChars="200"/>
        <w:rPr>
          <w:rFonts w:ascii="楷体" w:eastAsia="楷体" w:hAnsi="楷体" w:cs="楷体"/>
          <w:b/>
          <w:bCs/>
          <w:sz w:val="30"/>
          <w:szCs w:val="30"/>
        </w:rPr>
      </w:pPr>
      <w:bookmarkStart w:id="76" w:name="_Toc32153_WPSOffice_Level2"/>
      <w:r>
        <w:rPr>
          <w:rFonts w:ascii="楷体" w:eastAsia="楷体" w:hAnsi="楷体" w:cs="楷体" w:hint="eastAsia"/>
          <w:b/>
          <w:bCs/>
          <w:sz w:val="30"/>
          <w:szCs w:val="30"/>
        </w:rPr>
        <w:t>（一）调整优化学科专业结构布局，建立学科专业动态调整机制</w:t>
      </w:r>
      <w:bookmarkEnd w:id="76"/>
    </w:p>
    <w:p>
      <w:pPr>
        <w:spacing w:line="580" w:lineRule="exact"/>
        <w:ind w:firstLine="600" w:firstLineChars="200"/>
        <w:rPr>
          <w:rFonts w:ascii="仿宋" w:eastAsia="仿宋" w:hAnsi="仿宋"/>
          <w:sz w:val="30"/>
          <w:szCs w:val="30"/>
        </w:rPr>
      </w:pPr>
      <w:r>
        <w:rPr>
          <w:rFonts w:ascii="仿宋" w:eastAsia="仿宋" w:hAnsi="仿宋" w:hint="eastAsia"/>
          <w:sz w:val="30"/>
          <w:szCs w:val="30"/>
        </w:rPr>
        <w:t>建立健全专业结构动态调整机制，瞄准国家发展要求，主动适应京津冀区域经济结构战略性调整和产业转型升级需要，围绕产业结构布局调整专业结构布局，优化专业结构布局,服务区域经济社会发展的专业能力和水平显著提高。根据社会需求及高考录取率、新生报到率和毕业生毕业率等及时调整学科专业结构。</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1.到2020年，将招生的本科专业数量控制在30个以内，招生的专科专业数量控制在15个以内。</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2.按大类招生的专业，分流后专业人数应不少于30人，如少于30人，该专业次年停招。</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3.结合报考率、报到率、就业率等相关情况进行专业调整，出现报考率、报到率、就业率过低情况，应进行专业调整。如出现专业招生人数低于30人，该专业次年停招。</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4.如部分专业转出学生过多，剩余学生不足30人，该专业次年停招。</w:t>
      </w:r>
    </w:p>
    <w:p>
      <w:pPr>
        <w:spacing w:line="580" w:lineRule="exact"/>
        <w:ind w:firstLine="600" w:firstLineChars="200"/>
        <w:rPr>
          <w:rFonts w:ascii="楷体" w:eastAsia="楷体" w:hAnsi="楷体" w:cs="楷体"/>
          <w:b/>
          <w:bCs/>
          <w:sz w:val="30"/>
          <w:szCs w:val="30"/>
        </w:rPr>
      </w:pPr>
      <w:bookmarkStart w:id="77" w:name="_Toc2307_WPSOffice_Level2"/>
      <w:r>
        <w:rPr>
          <w:rFonts w:ascii="楷体" w:eastAsia="楷体" w:hAnsi="楷体" w:cs="楷体" w:hint="eastAsia"/>
          <w:b/>
          <w:bCs/>
          <w:sz w:val="30"/>
          <w:szCs w:val="30"/>
        </w:rPr>
        <w:t>（二）开展专业集群建设，推动专业集群内部结构优化</w:t>
      </w:r>
      <w:bookmarkEnd w:id="77"/>
    </w:p>
    <w:p>
      <w:pPr>
        <w:spacing w:line="580" w:lineRule="exact"/>
        <w:ind w:firstLine="600" w:firstLineChars="200"/>
        <w:rPr>
          <w:rFonts w:ascii="仿宋" w:eastAsia="仿宋" w:hAnsi="仿宋"/>
          <w:sz w:val="30"/>
          <w:szCs w:val="30"/>
        </w:rPr>
      </w:pPr>
      <w:r>
        <w:rPr>
          <w:rFonts w:ascii="仿宋" w:eastAsia="仿宋" w:hAnsi="仿宋" w:hint="eastAsia"/>
          <w:sz w:val="30"/>
          <w:szCs w:val="30"/>
        </w:rPr>
        <w:t>聚焦产业链，积极建设智能制造、汽车工程、土木建筑、文化艺术、现代服务5个大专业集群，适度由专业集群衍生增设新专业。将办学基础好、人才缺口大的专科专业，向本科层次转化，构建新的专业集群。</w:t>
      </w:r>
    </w:p>
    <w:p>
      <w:pPr>
        <w:spacing w:line="580" w:lineRule="exact"/>
        <w:ind w:firstLine="600" w:firstLineChars="200"/>
        <w:rPr>
          <w:rFonts w:ascii="仿宋" w:eastAsia="仿宋" w:hAnsi="仿宋"/>
          <w:b/>
          <w:sz w:val="30"/>
          <w:szCs w:val="30"/>
        </w:rPr>
      </w:pPr>
      <w:bookmarkStart w:id="78" w:name="_Toc16979_WPSOffice_Level3"/>
      <w:r>
        <w:rPr>
          <w:rFonts w:ascii="仿宋" w:eastAsia="仿宋" w:hAnsi="仿宋" w:hint="eastAsia"/>
          <w:b/>
          <w:sz w:val="30"/>
          <w:szCs w:val="30"/>
        </w:rPr>
        <w:t>1.建立专业集群内专业动态调整机制</w:t>
      </w:r>
      <w:bookmarkEnd w:id="78"/>
    </w:p>
    <w:p>
      <w:pPr>
        <w:spacing w:line="580" w:lineRule="exact"/>
        <w:ind w:firstLine="600" w:firstLineChars="200"/>
        <w:rPr>
          <w:rFonts w:ascii="仿宋" w:eastAsia="仿宋" w:hAnsi="仿宋"/>
          <w:sz w:val="30"/>
          <w:szCs w:val="30"/>
        </w:rPr>
      </w:pPr>
      <w:r>
        <w:rPr>
          <w:rFonts w:ascii="仿宋" w:eastAsia="仿宋" w:hAnsi="仿宋" w:hint="eastAsia"/>
          <w:sz w:val="30"/>
          <w:szCs w:val="30"/>
        </w:rPr>
        <w:t>按照</w:t>
      </w:r>
      <w:r>
        <w:rPr>
          <w:rFonts w:ascii="仿宋" w:eastAsia="仿宋" w:hAnsi="仿宋" w:hint="eastAsia"/>
          <w:sz w:val="30"/>
          <w:szCs w:val="30"/>
        </w:rPr>
        <w:t>“</w:t>
      </w:r>
      <w:r>
        <w:rPr>
          <w:rFonts w:ascii="仿宋" w:eastAsia="仿宋" w:hAnsi="仿宋" w:hint="eastAsia"/>
          <w:sz w:val="30"/>
          <w:szCs w:val="30"/>
        </w:rPr>
        <w:t>先入群，后调整</w:t>
      </w:r>
      <w:r>
        <w:rPr>
          <w:rFonts w:ascii="仿宋" w:eastAsia="仿宋" w:hAnsi="仿宋" w:hint="eastAsia"/>
          <w:sz w:val="30"/>
          <w:szCs w:val="30"/>
        </w:rPr>
        <w:t>”</w:t>
      </w:r>
      <w:r>
        <w:rPr>
          <w:rFonts w:ascii="仿宋" w:eastAsia="仿宋" w:hAnsi="仿宋" w:hint="eastAsia"/>
          <w:sz w:val="30"/>
          <w:szCs w:val="30"/>
        </w:rPr>
        <w:t>的原则，前期根据产业链需求将相关专业入群，在建设过程中逐步淘汰服务产业链关联度不高的专业；根据产业人才需求的变化，调整专业集群内各专业或专业方向，增设产业链需求的新增专业并纳入专业集群，不断推动专业集群的整合。</w:t>
      </w:r>
    </w:p>
    <w:p>
      <w:pPr>
        <w:spacing w:line="580" w:lineRule="exact"/>
        <w:ind w:firstLine="600" w:firstLineChars="200"/>
        <w:rPr>
          <w:rFonts w:ascii="仿宋" w:eastAsia="仿宋" w:hAnsi="仿宋"/>
          <w:b/>
          <w:sz w:val="30"/>
          <w:szCs w:val="30"/>
        </w:rPr>
      </w:pPr>
      <w:bookmarkStart w:id="79" w:name="_Toc26550_WPSOffice_Level3"/>
      <w:r>
        <w:rPr>
          <w:rFonts w:ascii="仿宋" w:eastAsia="仿宋" w:hAnsi="仿宋" w:hint="eastAsia"/>
          <w:b/>
          <w:sz w:val="30"/>
          <w:szCs w:val="30"/>
        </w:rPr>
        <w:t>2.实施专业集群特色发展战略</w:t>
      </w:r>
      <w:bookmarkEnd w:id="79"/>
    </w:p>
    <w:p>
      <w:pPr>
        <w:spacing w:line="580" w:lineRule="exact"/>
        <w:ind w:firstLine="600" w:firstLineChars="200"/>
        <w:rPr>
          <w:rFonts w:ascii="仿宋" w:eastAsia="仿宋" w:hAnsi="仿宋"/>
          <w:sz w:val="30"/>
          <w:szCs w:val="30"/>
        </w:rPr>
      </w:pPr>
      <w:r>
        <w:rPr>
          <w:rFonts w:ascii="仿宋" w:eastAsia="仿宋" w:hAnsi="仿宋" w:hint="eastAsia"/>
          <w:sz w:val="30"/>
          <w:szCs w:val="30"/>
        </w:rPr>
        <w:t>注重将地方支柱产业、战略性新兴产业发展紧密相关的专业特色化培育，带动专业集群内其他专业协同发展，形成优势特色专业集群，引导优质资源向专业集群汇聚，支撑专业内涵建设的持续深化。</w:t>
      </w:r>
    </w:p>
    <w:p>
      <w:pPr>
        <w:spacing w:line="580" w:lineRule="exact"/>
        <w:ind w:firstLine="600" w:firstLineChars="200"/>
        <w:rPr>
          <w:rFonts w:ascii="仿宋" w:eastAsia="仿宋" w:hAnsi="仿宋"/>
          <w:b/>
          <w:sz w:val="30"/>
          <w:szCs w:val="30"/>
        </w:rPr>
      </w:pPr>
      <w:bookmarkStart w:id="80" w:name="_Toc7002_WPSOffice_Level3"/>
      <w:r>
        <w:rPr>
          <w:rFonts w:ascii="仿宋" w:eastAsia="仿宋" w:hAnsi="仿宋" w:hint="eastAsia"/>
          <w:b/>
          <w:sz w:val="30"/>
          <w:szCs w:val="30"/>
        </w:rPr>
        <w:t>3.积极推进</w:t>
      </w:r>
      <w:r>
        <w:rPr>
          <w:rFonts w:ascii="仿宋" w:eastAsia="仿宋" w:hAnsi="仿宋" w:hint="eastAsia"/>
          <w:b/>
          <w:sz w:val="30"/>
          <w:szCs w:val="30"/>
        </w:rPr>
        <w:t>“</w:t>
      </w:r>
      <w:r>
        <w:rPr>
          <w:rFonts w:ascii="仿宋" w:eastAsia="仿宋" w:hAnsi="仿宋" w:hint="eastAsia"/>
          <w:b/>
          <w:sz w:val="30"/>
          <w:szCs w:val="30"/>
        </w:rPr>
        <w:t>产学研</w:t>
      </w:r>
      <w:r>
        <w:rPr>
          <w:rFonts w:ascii="仿宋" w:eastAsia="仿宋" w:hAnsi="仿宋" w:hint="eastAsia"/>
          <w:b/>
          <w:sz w:val="30"/>
          <w:szCs w:val="30"/>
        </w:rPr>
        <w:t>”</w:t>
      </w:r>
      <w:r>
        <w:rPr>
          <w:rFonts w:ascii="仿宋" w:eastAsia="仿宋" w:hAnsi="仿宋" w:hint="eastAsia"/>
          <w:b/>
          <w:sz w:val="30"/>
          <w:szCs w:val="30"/>
        </w:rPr>
        <w:t>合作办学进度</w:t>
      </w:r>
      <w:bookmarkEnd w:id="80"/>
    </w:p>
    <w:p>
      <w:pPr>
        <w:spacing w:line="580" w:lineRule="exact"/>
        <w:ind w:firstLine="600" w:firstLineChars="200"/>
        <w:rPr>
          <w:rFonts w:ascii="仿宋" w:eastAsia="仿宋" w:hAnsi="仿宋"/>
          <w:sz w:val="30"/>
          <w:szCs w:val="30"/>
        </w:rPr>
      </w:pPr>
      <w:r>
        <w:rPr>
          <w:rFonts w:ascii="仿宋" w:eastAsia="仿宋" w:hAnsi="仿宋" w:hint="eastAsia"/>
          <w:sz w:val="30"/>
          <w:szCs w:val="30"/>
        </w:rPr>
        <w:t>建立以专业集群为支撑，以合作双赢为动力，以建立校企双方参与的教学科研联合体或政府、行业部门和骨干企业参与的产教联盟为途径，积极推进</w:t>
      </w:r>
      <w:r>
        <w:rPr>
          <w:rFonts w:ascii="仿宋" w:eastAsia="仿宋" w:hAnsi="仿宋" w:hint="eastAsia"/>
          <w:sz w:val="30"/>
          <w:szCs w:val="30"/>
        </w:rPr>
        <w:t>“</w:t>
      </w:r>
      <w:r>
        <w:rPr>
          <w:rFonts w:ascii="仿宋" w:eastAsia="仿宋" w:hAnsi="仿宋" w:hint="eastAsia"/>
          <w:sz w:val="30"/>
          <w:szCs w:val="30"/>
        </w:rPr>
        <w:t>产学研</w:t>
      </w:r>
      <w:r>
        <w:rPr>
          <w:rFonts w:ascii="仿宋" w:eastAsia="仿宋" w:hAnsi="仿宋" w:hint="eastAsia"/>
          <w:sz w:val="30"/>
          <w:szCs w:val="30"/>
        </w:rPr>
        <w:t>”</w:t>
      </w:r>
      <w:r>
        <w:rPr>
          <w:rFonts w:ascii="仿宋" w:eastAsia="仿宋" w:hAnsi="仿宋" w:hint="eastAsia"/>
          <w:sz w:val="30"/>
          <w:szCs w:val="30"/>
        </w:rPr>
        <w:t>合作办学。</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主动争取行业、企业有效参与学校人才培养全过程，实现</w:t>
      </w:r>
      <w:r>
        <w:rPr>
          <w:rFonts w:ascii="仿宋" w:eastAsia="仿宋" w:hAnsi="仿宋" w:hint="eastAsia"/>
          <w:sz w:val="30"/>
          <w:szCs w:val="30"/>
        </w:rPr>
        <w:t>“</w:t>
      </w:r>
      <w:r>
        <w:rPr>
          <w:rFonts w:ascii="仿宋" w:eastAsia="仿宋" w:hAnsi="仿宋" w:hint="eastAsia"/>
          <w:sz w:val="30"/>
          <w:szCs w:val="30"/>
        </w:rPr>
        <w:t>六个共同</w:t>
      </w:r>
      <w:r>
        <w:rPr>
          <w:rFonts w:ascii="仿宋" w:eastAsia="仿宋" w:hAnsi="仿宋" w:hint="eastAsia"/>
          <w:sz w:val="30"/>
          <w:szCs w:val="30"/>
        </w:rPr>
        <w:t>”</w:t>
      </w:r>
      <w:r>
        <w:rPr>
          <w:rFonts w:ascii="仿宋" w:eastAsia="仿宋" w:hAnsi="仿宋" w:hint="eastAsia"/>
          <w:sz w:val="30"/>
          <w:szCs w:val="30"/>
        </w:rPr>
        <w:t>：即共同制定应用型人才培养标准，共同完善人才培养方案，共同构建课程体系、教学内容，共同开发课程资源，共同实施培养过程，共同评价培养质量，实现人才培养规格与产业行业发展和用人部门实际需求的对接，提升专业集群培养高素质应用型人才的能力和服务社会的能力，深化产教融合、校企合作，实现协同育人、协同创新。到2020年，争取建设2～3个与企业（行业）深度融合、合作育人的专业集群。</w:t>
      </w:r>
    </w:p>
    <w:p>
      <w:pPr>
        <w:spacing w:line="580" w:lineRule="exact"/>
        <w:ind w:firstLine="600" w:firstLineChars="200"/>
        <w:rPr>
          <w:rFonts w:ascii="楷体" w:eastAsia="楷体" w:hAnsi="楷体" w:cs="楷体"/>
          <w:b/>
          <w:bCs/>
          <w:sz w:val="30"/>
          <w:szCs w:val="30"/>
        </w:rPr>
      </w:pPr>
      <w:bookmarkStart w:id="81" w:name="_Toc29925_WPSOffice_Level2"/>
      <w:r>
        <w:rPr>
          <w:rFonts w:ascii="楷体" w:eastAsia="楷体" w:hAnsi="楷体" w:cs="楷体" w:hint="eastAsia"/>
          <w:b/>
          <w:bCs/>
          <w:sz w:val="30"/>
          <w:szCs w:val="30"/>
        </w:rPr>
        <w:t>（三）完善学科体系，实施医护医技类专业群建设</w:t>
      </w:r>
      <w:bookmarkEnd w:id="81"/>
    </w:p>
    <w:p>
      <w:pPr>
        <w:spacing w:line="580" w:lineRule="exact"/>
        <w:ind w:firstLine="600" w:firstLineChars="200"/>
        <w:rPr>
          <w:rFonts w:ascii="仿宋" w:eastAsia="仿宋" w:hAnsi="仿宋"/>
          <w:sz w:val="30"/>
          <w:szCs w:val="30"/>
        </w:rPr>
      </w:pPr>
      <w:r>
        <w:rPr>
          <w:rFonts w:ascii="仿宋" w:eastAsia="仿宋" w:hAnsi="仿宋" w:hint="eastAsia"/>
          <w:sz w:val="30"/>
          <w:szCs w:val="30"/>
        </w:rPr>
        <w:t>随着社会进入老龄化和二胎政策的放开以及社会对健康服务标准的提升，医院、社区、家庭、康复中心、养老服务等领域对医学护理、助产、康复治疗技术等人才的需求较大，加剧了医护医技人才的缺口。</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期间，加大对现有护理、助产、康复治疗技术等专科专业的教学投入，进一步完善办学基本条件，提升专业人才培养的质量，争取增设护理学、助产学和康复治疗学等3个本科专业，构建本专科专业衔接的医护医技专业集群，对接医学护理、养老服务和康复治疗等领域的社会需求。</w:t>
      </w:r>
    </w:p>
    <w:p>
      <w:pPr>
        <w:spacing w:line="580" w:lineRule="exact"/>
        <w:ind w:firstLine="600" w:firstLineChars="200"/>
        <w:rPr>
          <w:rFonts w:ascii="楷体" w:eastAsia="楷体" w:hAnsi="楷体" w:cs="楷体"/>
          <w:b/>
          <w:bCs/>
          <w:sz w:val="30"/>
          <w:szCs w:val="30"/>
        </w:rPr>
      </w:pPr>
      <w:bookmarkStart w:id="82" w:name="_Toc22479_WPSOffice_Level2"/>
      <w:r>
        <w:rPr>
          <w:rFonts w:ascii="楷体" w:eastAsia="楷体" w:hAnsi="楷体" w:cs="楷体" w:hint="eastAsia"/>
          <w:b/>
          <w:bCs/>
          <w:sz w:val="30"/>
          <w:szCs w:val="30"/>
        </w:rPr>
        <w:t>（四）加大学科专业建设力度</w:t>
      </w:r>
      <w:bookmarkEnd w:id="82"/>
    </w:p>
    <w:p>
      <w:pPr>
        <w:spacing w:line="580" w:lineRule="exact"/>
        <w:ind w:firstLine="600" w:firstLineChars="200"/>
        <w:rPr>
          <w:rFonts w:ascii="仿宋" w:eastAsia="仿宋" w:hAnsi="仿宋"/>
          <w:sz w:val="30"/>
          <w:szCs w:val="30"/>
        </w:rPr>
      </w:pPr>
      <w:r>
        <w:rPr>
          <w:rFonts w:ascii="仿宋" w:eastAsia="仿宋" w:hAnsi="仿宋" w:hint="eastAsia"/>
          <w:sz w:val="30"/>
          <w:szCs w:val="30"/>
        </w:rPr>
        <w:t>坚持</w:t>
      </w:r>
      <w:r>
        <w:rPr>
          <w:rFonts w:ascii="仿宋" w:eastAsia="仿宋" w:hAnsi="仿宋" w:hint="eastAsia"/>
          <w:sz w:val="30"/>
          <w:szCs w:val="30"/>
        </w:rPr>
        <w:t>“</w:t>
      </w:r>
      <w:r>
        <w:rPr>
          <w:rFonts w:ascii="仿宋" w:eastAsia="仿宋" w:hAnsi="仿宋" w:hint="eastAsia"/>
          <w:sz w:val="30"/>
          <w:szCs w:val="30"/>
        </w:rPr>
        <w:t>育人为本，德育优先，能力为重，全面发展</w:t>
      </w:r>
      <w:r>
        <w:rPr>
          <w:rFonts w:ascii="仿宋" w:eastAsia="仿宋" w:hAnsi="仿宋" w:hint="eastAsia"/>
          <w:sz w:val="30"/>
          <w:szCs w:val="30"/>
        </w:rPr>
        <w:t>”</w:t>
      </w:r>
      <w:r>
        <w:rPr>
          <w:rFonts w:ascii="仿宋" w:eastAsia="仿宋" w:hAnsi="仿宋" w:hint="eastAsia"/>
          <w:sz w:val="30"/>
          <w:szCs w:val="30"/>
        </w:rPr>
        <w:t>的人才培养理念，深化教学改革，把创新人才培养模式、修订人才培养方案、加强教学团队和教学基层组织建设、加强课程和教材建设、加强实践教学平台建设等作为重要抓手，加大学科专业建设力度，继续推进重点专业立项建设工作，培育专业优势和特色。</w:t>
      </w:r>
    </w:p>
    <w:p>
      <w:pPr>
        <w:spacing w:line="580" w:lineRule="exact"/>
        <w:ind w:firstLine="600" w:firstLineChars="200"/>
        <w:rPr>
          <w:rFonts w:ascii="仿宋" w:eastAsia="仿宋" w:hAnsi="仿宋"/>
          <w:b/>
          <w:sz w:val="30"/>
          <w:szCs w:val="30"/>
        </w:rPr>
      </w:pPr>
      <w:bookmarkStart w:id="83" w:name="_Toc310_WPSOffice_Level3"/>
      <w:r>
        <w:rPr>
          <w:rFonts w:ascii="仿宋" w:eastAsia="仿宋" w:hAnsi="仿宋" w:hint="eastAsia"/>
          <w:b/>
          <w:sz w:val="30"/>
          <w:szCs w:val="30"/>
        </w:rPr>
        <w:t>1.创新人才培养模式，优化人才培养方案</w:t>
      </w:r>
      <w:bookmarkEnd w:id="83"/>
    </w:p>
    <w:p>
      <w:pPr>
        <w:spacing w:line="580" w:lineRule="exact"/>
        <w:ind w:firstLine="600" w:firstLineChars="200"/>
        <w:rPr>
          <w:rFonts w:ascii="仿宋" w:eastAsia="仿宋" w:hAnsi="仿宋"/>
          <w:sz w:val="30"/>
          <w:szCs w:val="30"/>
        </w:rPr>
      </w:pPr>
      <w:r>
        <w:rPr>
          <w:rFonts w:ascii="仿宋" w:eastAsia="仿宋" w:hAnsi="仿宋" w:hint="eastAsia"/>
          <w:sz w:val="30"/>
          <w:szCs w:val="30"/>
        </w:rPr>
        <w:t>根据</w:t>
      </w:r>
      <w:r>
        <w:rPr>
          <w:rFonts w:ascii="仿宋" w:eastAsia="仿宋" w:hAnsi="仿宋" w:hint="eastAsia"/>
          <w:sz w:val="30"/>
          <w:szCs w:val="30"/>
        </w:rPr>
        <w:t>“</w:t>
      </w:r>
      <w:r>
        <w:rPr>
          <w:rFonts w:ascii="仿宋" w:eastAsia="仿宋" w:hAnsi="仿宋" w:hint="eastAsia"/>
          <w:sz w:val="30"/>
          <w:szCs w:val="30"/>
        </w:rPr>
        <w:t>学生中心、成果导向，持续改进</w:t>
      </w:r>
      <w:r>
        <w:rPr>
          <w:rFonts w:ascii="仿宋" w:eastAsia="仿宋" w:hAnsi="仿宋" w:hint="eastAsia"/>
          <w:sz w:val="30"/>
          <w:szCs w:val="30"/>
        </w:rPr>
        <w:t>”</w:t>
      </w:r>
      <w:r>
        <w:rPr>
          <w:rFonts w:ascii="仿宋" w:eastAsia="仿宋" w:hAnsi="仿宋" w:hint="eastAsia"/>
          <w:sz w:val="30"/>
          <w:szCs w:val="30"/>
        </w:rPr>
        <w:t>的理念重构人才培养目标体系，构建专业培养与社会需求对接、课程体系与能力要求对接的人才培养体系，优化课程内容与课程体系，聚焦实践教学体系的设计，进一步完善产教融合、协同育人的人才培养模式。</w:t>
      </w:r>
    </w:p>
    <w:p>
      <w:pPr>
        <w:spacing w:line="580" w:lineRule="exact"/>
        <w:ind w:firstLine="600" w:firstLineChars="200"/>
        <w:rPr>
          <w:rFonts w:ascii="仿宋" w:eastAsia="仿宋" w:hAnsi="仿宋"/>
          <w:b/>
          <w:sz w:val="30"/>
          <w:szCs w:val="30"/>
        </w:rPr>
      </w:pPr>
      <w:bookmarkStart w:id="84" w:name="_Toc18617_WPSOffice_Level3"/>
      <w:r>
        <w:rPr>
          <w:rFonts w:ascii="仿宋" w:eastAsia="仿宋" w:hAnsi="仿宋" w:hint="eastAsia"/>
          <w:b/>
          <w:sz w:val="30"/>
          <w:szCs w:val="30"/>
        </w:rPr>
        <w:t>2.加强课程建设</w:t>
      </w:r>
      <w:bookmarkEnd w:id="84"/>
    </w:p>
    <w:p>
      <w:pPr>
        <w:spacing w:line="580" w:lineRule="exact"/>
        <w:ind w:firstLine="600" w:firstLineChars="2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期间，学校建立合格课程评估制度和重点课程、精品课程立项建设制度，采取合格课程评估、重点课程和精品课程立项建设的方式，全面推进课程建设工作。到2020年，完成所有课程的合格课程评估工作，建设50门校级重点课程，建设15门校级精品课程。</w:t>
      </w:r>
    </w:p>
    <w:p>
      <w:pPr>
        <w:spacing w:line="580" w:lineRule="exact"/>
        <w:ind w:firstLine="600" w:firstLineChars="200"/>
        <w:rPr>
          <w:rFonts w:ascii="仿宋" w:eastAsia="仿宋" w:hAnsi="仿宋"/>
          <w:b/>
          <w:sz w:val="30"/>
          <w:szCs w:val="30"/>
        </w:rPr>
      </w:pPr>
      <w:bookmarkStart w:id="85" w:name="_Toc21657_WPSOffice_Level3"/>
      <w:r>
        <w:rPr>
          <w:rFonts w:ascii="仿宋" w:eastAsia="仿宋" w:hAnsi="仿宋" w:hint="eastAsia"/>
          <w:b/>
          <w:sz w:val="30"/>
          <w:szCs w:val="30"/>
        </w:rPr>
        <w:t>3.加强基层教学体系和教学团队建设</w:t>
      </w:r>
      <w:bookmarkEnd w:id="85"/>
    </w:p>
    <w:p>
      <w:pPr>
        <w:spacing w:line="580" w:lineRule="exact"/>
        <w:ind w:firstLine="600" w:firstLineChars="200"/>
        <w:rPr>
          <w:rFonts w:ascii="仿宋" w:eastAsia="仿宋" w:hAnsi="仿宋"/>
          <w:sz w:val="30"/>
          <w:szCs w:val="30"/>
        </w:rPr>
      </w:pPr>
      <w:r>
        <w:rPr>
          <w:rFonts w:ascii="仿宋" w:eastAsia="仿宋" w:hAnsi="仿宋" w:hint="eastAsia"/>
          <w:sz w:val="30"/>
          <w:szCs w:val="30"/>
        </w:rPr>
        <w:t>加强教学基层组织建设。制定政策，强化基层教学组织的功能，促进基层教学管理、专业建设、课程与教材建设、实践教学、教学研究与改革、教师教学发展等方面发挥重要作用。学校设立专项经费，保障基层教学组织的各项工作正常开展。</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加强教学团队建设。实行</w:t>
      </w:r>
      <w:r>
        <w:rPr>
          <w:rFonts w:ascii="仿宋" w:eastAsia="仿宋" w:hAnsi="仿宋" w:hint="eastAsia"/>
          <w:sz w:val="30"/>
          <w:szCs w:val="30"/>
        </w:rPr>
        <w:t>“</w:t>
      </w:r>
      <w:r>
        <w:rPr>
          <w:rFonts w:ascii="仿宋" w:eastAsia="仿宋" w:hAnsi="仿宋" w:hint="eastAsia"/>
          <w:sz w:val="30"/>
          <w:szCs w:val="30"/>
        </w:rPr>
        <w:t>外聘专家+校内选拔培养</w:t>
      </w:r>
      <w:r>
        <w:rPr>
          <w:rFonts w:ascii="仿宋" w:eastAsia="仿宋" w:hAnsi="仿宋" w:hint="eastAsia"/>
          <w:sz w:val="30"/>
          <w:szCs w:val="30"/>
        </w:rPr>
        <w:t>”</w:t>
      </w:r>
      <w:r>
        <w:rPr>
          <w:rFonts w:ascii="仿宋" w:eastAsia="仿宋" w:hAnsi="仿宋" w:hint="eastAsia"/>
          <w:sz w:val="30"/>
          <w:szCs w:val="30"/>
        </w:rPr>
        <w:t>的专业双带头人制，加快校内专业带头人的培养步伐；实行课程负责人制度，加强服务课程的教学团队建设；积极引进和培养</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 xml:space="preserve"> 型教师，探索实施教师赴企事业单位挂职锻炼制度；加强青年教师培养力度，采取外出进修、导师制、助教制等岗位培养培训等方式，加快青年教师成长，促进青年教师教学能力的提升。</w:t>
      </w:r>
    </w:p>
    <w:p>
      <w:pPr>
        <w:spacing w:line="580" w:lineRule="exact"/>
        <w:ind w:firstLine="600" w:firstLineChars="200"/>
        <w:rPr>
          <w:rFonts w:ascii="仿宋" w:eastAsia="仿宋" w:hAnsi="仿宋"/>
          <w:sz w:val="30"/>
          <w:szCs w:val="30"/>
        </w:rPr>
      </w:pPr>
      <w:r>
        <w:rPr>
          <w:rFonts w:ascii="仿宋" w:eastAsia="仿宋" w:hAnsi="仿宋" w:hint="eastAsia"/>
          <w:sz w:val="30"/>
          <w:szCs w:val="30"/>
        </w:rPr>
        <w:t>到2020年，建设10支左右校级优秀教学团队。</w:t>
      </w:r>
    </w:p>
    <w:p>
      <w:pPr>
        <w:spacing w:line="580" w:lineRule="exact"/>
        <w:ind w:firstLine="600" w:firstLineChars="200"/>
        <w:rPr>
          <w:rFonts w:ascii="仿宋" w:eastAsia="仿宋" w:hAnsi="仿宋"/>
          <w:b/>
          <w:sz w:val="30"/>
          <w:szCs w:val="30"/>
        </w:rPr>
      </w:pPr>
      <w:bookmarkStart w:id="86" w:name="_Toc24751_WPSOffice_Level3"/>
      <w:r>
        <w:rPr>
          <w:rFonts w:ascii="仿宋" w:eastAsia="仿宋" w:hAnsi="仿宋" w:hint="eastAsia"/>
          <w:b/>
          <w:sz w:val="30"/>
          <w:szCs w:val="30"/>
        </w:rPr>
        <w:t>4.加强实践教学平台建设</w:t>
      </w:r>
      <w:bookmarkEnd w:id="86"/>
    </w:p>
    <w:p>
      <w:pPr>
        <w:spacing w:line="580" w:lineRule="exact"/>
        <w:ind w:firstLine="600" w:firstLineChars="200"/>
        <w:rPr>
          <w:rFonts w:ascii="仿宋" w:eastAsia="仿宋" w:hAnsi="仿宋"/>
          <w:sz w:val="30"/>
          <w:szCs w:val="30"/>
        </w:rPr>
      </w:pPr>
      <w:r>
        <w:rPr>
          <w:rFonts w:ascii="仿宋" w:eastAsia="仿宋" w:hAnsi="仿宋" w:hint="eastAsia"/>
          <w:sz w:val="30"/>
          <w:szCs w:val="30"/>
        </w:rPr>
        <w:t>完善专业实践教学体系，提高实践教学学分，要求各专业实践教学学分占总学分比例不少于30%。加大实验室建设投资力度，进一步完善实验教学平台，积极与行业企业合作共建共享实习实训基地；到2020年，校内公共实验、专业实验室设置和仪器设备进一步完善，新增校外实习基地30个左右，总数达到150个，初步形成校内外衔接的实践教学环境。</w:t>
      </w:r>
    </w:p>
    <w:p>
      <w:pPr>
        <w:spacing w:line="580" w:lineRule="exact"/>
        <w:ind w:firstLine="600" w:firstLineChars="200"/>
        <w:rPr>
          <w:rFonts w:ascii="仿宋" w:eastAsia="仿宋" w:hAnsi="仿宋"/>
          <w:b/>
          <w:sz w:val="30"/>
          <w:szCs w:val="30"/>
        </w:rPr>
      </w:pPr>
      <w:bookmarkStart w:id="87" w:name="_Toc26748_WPSOffice_Level3"/>
      <w:r>
        <w:rPr>
          <w:rFonts w:ascii="仿宋" w:eastAsia="仿宋" w:hAnsi="仿宋" w:hint="eastAsia"/>
          <w:b/>
          <w:sz w:val="30"/>
          <w:szCs w:val="30"/>
        </w:rPr>
        <w:t>5.开展专业评估，建立诊断改进机制</w:t>
      </w:r>
      <w:bookmarkEnd w:id="87"/>
    </w:p>
    <w:p>
      <w:pPr>
        <w:spacing w:line="580" w:lineRule="exact"/>
        <w:ind w:firstLine="600" w:firstLineChars="200"/>
        <w:rPr>
          <w:rFonts w:ascii="仿宋" w:eastAsia="仿宋" w:hAnsi="仿宋"/>
          <w:sz w:val="30"/>
          <w:szCs w:val="30"/>
        </w:rPr>
      </w:pPr>
      <w:r>
        <w:rPr>
          <w:rFonts w:ascii="仿宋" w:eastAsia="仿宋" w:hAnsi="仿宋" w:hint="eastAsia"/>
          <w:sz w:val="30"/>
          <w:szCs w:val="30"/>
        </w:rPr>
        <w:t>在二级学院建立专业建设指导委员会工作机制，探索建立社会各界多方参与的专业建设评价体系。构建校内专业评估与日常教学质量监控紧密结合、校内专业评估制度与国家专业评估制度相互衔接、专项评估与整体评估有效融合的评估模式。建立专业评估运行、激励机制,启动专业评估试点工作，将专业评估结果作为调整专业、修订人才培养方案、教学工作评价和教学基本建设经费投入的重要依据，促进专业持续建设。</w:t>
      </w:r>
    </w:p>
    <w:p>
      <w:pPr>
        <w:spacing w:line="580" w:lineRule="exact"/>
        <w:ind w:firstLine="600" w:firstLineChars="200"/>
        <w:rPr>
          <w:rFonts w:ascii="仿宋" w:eastAsia="仿宋" w:hAnsi="仿宋"/>
          <w:b/>
          <w:sz w:val="30"/>
          <w:szCs w:val="30"/>
        </w:rPr>
      </w:pPr>
      <w:bookmarkStart w:id="88" w:name="_Toc23379_WPSOffice_Level3"/>
      <w:r>
        <w:rPr>
          <w:rFonts w:ascii="仿宋" w:eastAsia="仿宋" w:hAnsi="仿宋" w:hint="eastAsia"/>
          <w:b/>
          <w:sz w:val="30"/>
          <w:szCs w:val="30"/>
        </w:rPr>
        <w:t>6.着力培育专业硕士学位点</w:t>
      </w:r>
      <w:bookmarkEnd w:id="88"/>
    </w:p>
    <w:p>
      <w:pPr>
        <w:spacing w:line="580" w:lineRule="exact"/>
        <w:ind w:firstLine="600" w:firstLineChars="200"/>
        <w:rPr>
          <w:rFonts w:ascii="仿宋" w:eastAsia="仿宋" w:hAnsi="仿宋"/>
          <w:sz w:val="30"/>
          <w:szCs w:val="30"/>
        </w:rPr>
      </w:pPr>
      <w:r>
        <w:rPr>
          <w:rFonts w:ascii="仿宋" w:eastAsia="仿宋" w:hAnsi="仿宋" w:hint="eastAsia"/>
          <w:sz w:val="30"/>
          <w:szCs w:val="30"/>
        </w:rPr>
        <w:t>以培养学术骨干教师为目标，加大经费投入，整合校内外资源，寻求省内外高校相关学科支持，积极争取机械制造及其自动化、会计学、车辆工程等学科联合进行专业硕士培养工作，为</w:t>
      </w:r>
      <w:r>
        <w:rPr>
          <w:rFonts w:ascii="仿宋" w:eastAsia="仿宋" w:hAnsi="仿宋" w:hint="eastAsia"/>
          <w:sz w:val="30"/>
          <w:szCs w:val="30"/>
        </w:rPr>
        <w:t>“</w:t>
      </w:r>
      <w:r>
        <w:rPr>
          <w:rFonts w:ascii="仿宋" w:eastAsia="仿宋" w:hAnsi="仿宋" w:hint="eastAsia"/>
          <w:sz w:val="30"/>
          <w:szCs w:val="30"/>
        </w:rPr>
        <w:t>河北省硕士立项建设单位</w:t>
      </w:r>
      <w:r>
        <w:rPr>
          <w:rFonts w:ascii="仿宋" w:eastAsia="仿宋" w:hAnsi="仿宋" w:hint="eastAsia"/>
          <w:sz w:val="30"/>
          <w:szCs w:val="30"/>
        </w:rPr>
        <w:t>”</w:t>
      </w:r>
      <w:r>
        <w:rPr>
          <w:rFonts w:ascii="仿宋" w:eastAsia="仿宋" w:hAnsi="仿宋" w:hint="eastAsia"/>
          <w:sz w:val="30"/>
          <w:szCs w:val="30"/>
        </w:rPr>
        <w:t>的验收奠定基础（见附表4）。</w:t>
      </w:r>
    </w:p>
    <w:p>
      <w:pPr>
        <w:spacing w:line="580" w:lineRule="exact"/>
        <w:ind w:firstLine="600" w:firstLineChars="200"/>
        <w:rPr>
          <w:rFonts w:ascii="黑体" w:eastAsia="黑体" w:hAnsi="黑体" w:cs="黑体"/>
          <w:sz w:val="30"/>
          <w:szCs w:val="30"/>
        </w:rPr>
      </w:pPr>
      <w:bookmarkStart w:id="89" w:name="_Toc32153_WPSOffice_Level1"/>
      <w:bookmarkStart w:id="90" w:name="_Toc475460668"/>
      <w:bookmarkStart w:id="91" w:name="_Toc476124593"/>
      <w:r>
        <w:rPr>
          <w:rFonts w:ascii="黑体" w:eastAsia="黑体" w:hAnsi="黑体" w:cs="黑体" w:hint="eastAsia"/>
          <w:sz w:val="30"/>
          <w:szCs w:val="30"/>
        </w:rPr>
        <w:t>四、保障措施</w:t>
      </w:r>
      <w:bookmarkEnd w:id="89"/>
      <w:bookmarkEnd w:id="90"/>
      <w:bookmarkEnd w:id="91"/>
    </w:p>
    <w:p>
      <w:pPr>
        <w:spacing w:line="580" w:lineRule="exact"/>
        <w:ind w:firstLine="600" w:firstLineChars="200"/>
        <w:rPr>
          <w:rFonts w:ascii="楷体" w:eastAsia="楷体" w:hAnsi="楷体" w:cs="楷体"/>
          <w:b/>
          <w:bCs/>
          <w:sz w:val="30"/>
          <w:szCs w:val="30"/>
        </w:rPr>
      </w:pPr>
      <w:bookmarkStart w:id="92" w:name="_Toc476124594"/>
      <w:bookmarkStart w:id="93" w:name="_Toc2188_WPSOffice_Level2"/>
      <w:bookmarkStart w:id="94" w:name="_Toc475460669"/>
      <w:r>
        <w:rPr>
          <w:rFonts w:ascii="楷体" w:eastAsia="楷体" w:hAnsi="楷体" w:cs="楷体" w:hint="eastAsia"/>
          <w:b/>
          <w:bCs/>
          <w:sz w:val="30"/>
          <w:szCs w:val="30"/>
        </w:rPr>
        <w:t>（一）组织保障</w:t>
      </w:r>
      <w:bookmarkEnd w:id="92"/>
      <w:bookmarkEnd w:id="93"/>
      <w:bookmarkEnd w:id="94"/>
    </w:p>
    <w:p>
      <w:pPr>
        <w:spacing w:line="580" w:lineRule="exact"/>
        <w:ind w:firstLine="600" w:firstLineChars="200"/>
        <w:rPr>
          <w:rFonts w:ascii="仿宋" w:eastAsia="仿宋" w:hAnsi="仿宋"/>
          <w:sz w:val="30"/>
          <w:szCs w:val="30"/>
        </w:rPr>
      </w:pPr>
      <w:r>
        <w:rPr>
          <w:rFonts w:ascii="仿宋" w:eastAsia="仿宋" w:hAnsi="仿宋" w:hint="eastAsia"/>
          <w:sz w:val="30"/>
          <w:szCs w:val="30"/>
        </w:rPr>
        <w:t>成立由学校主要领导、学术委员会负责人组成的学科专业领导小组，负责重点建设学科专业的遴选、督查、评估和验收。</w:t>
      </w:r>
    </w:p>
    <w:p>
      <w:pPr>
        <w:spacing w:line="580" w:lineRule="exact"/>
        <w:ind w:firstLine="600" w:firstLineChars="200"/>
        <w:rPr>
          <w:rFonts w:ascii="楷体" w:eastAsia="楷体" w:hAnsi="楷体" w:cs="楷体"/>
          <w:b/>
          <w:bCs/>
          <w:sz w:val="30"/>
          <w:szCs w:val="30"/>
        </w:rPr>
      </w:pPr>
      <w:bookmarkStart w:id="95" w:name="_Toc476124595"/>
      <w:bookmarkStart w:id="96" w:name="_Toc16979_WPSOffice_Level2"/>
      <w:bookmarkStart w:id="97" w:name="_Toc475460670"/>
      <w:r>
        <w:rPr>
          <w:rFonts w:ascii="楷体" w:eastAsia="楷体" w:hAnsi="楷体" w:cs="楷体" w:hint="eastAsia"/>
          <w:b/>
          <w:bCs/>
          <w:sz w:val="30"/>
          <w:szCs w:val="30"/>
        </w:rPr>
        <w:t>（二）经费保障</w:t>
      </w:r>
      <w:bookmarkEnd w:id="95"/>
      <w:bookmarkEnd w:id="96"/>
      <w:bookmarkEnd w:id="97"/>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学校每年投入专项资金加强学科专业建设。校级重点建设学科专业拨付专门建设资金，已获得省级立项建设学科专业按上级文件规定进行资金配套。</w:t>
      </w:r>
    </w:p>
    <w:p>
      <w:pPr>
        <w:spacing w:line="580" w:lineRule="exact"/>
        <w:ind w:firstLine="600" w:firstLineChars="200"/>
        <w:rPr>
          <w:rFonts w:ascii="楷体" w:eastAsia="楷体" w:hAnsi="楷体" w:cs="楷体"/>
          <w:b/>
          <w:bCs/>
          <w:sz w:val="30"/>
          <w:szCs w:val="30"/>
        </w:rPr>
      </w:pPr>
      <w:bookmarkStart w:id="98" w:name="_Toc26550_WPSOffice_Level2"/>
      <w:bookmarkStart w:id="99" w:name="_Toc476124596"/>
      <w:bookmarkStart w:id="100" w:name="_Toc475460671"/>
      <w:r>
        <w:rPr>
          <w:rFonts w:ascii="楷体" w:eastAsia="楷体" w:hAnsi="楷体" w:cs="楷体" w:hint="eastAsia"/>
          <w:b/>
          <w:bCs/>
          <w:sz w:val="30"/>
          <w:szCs w:val="30"/>
        </w:rPr>
        <w:t>（三）政策保障</w:t>
      </w:r>
      <w:bookmarkEnd w:id="98"/>
      <w:bookmarkEnd w:id="99"/>
      <w:bookmarkEnd w:id="100"/>
    </w:p>
    <w:p>
      <w:pPr>
        <w:spacing w:line="580" w:lineRule="exact"/>
        <w:ind w:firstLine="600" w:firstLineChars="200"/>
        <w:rPr>
          <w:rFonts w:ascii="仿宋" w:eastAsia="仿宋" w:hAnsi="仿宋"/>
          <w:sz w:val="30"/>
          <w:szCs w:val="30"/>
        </w:rPr>
      </w:pPr>
      <w:r>
        <w:rPr>
          <w:rFonts w:ascii="仿宋" w:eastAsia="仿宋" w:hAnsi="仿宋" w:hint="eastAsia"/>
          <w:sz w:val="30"/>
          <w:szCs w:val="30"/>
        </w:rPr>
        <w:t>学校在人才引进、设备与图书资料购置、教学科研场地、校企合作平台建设以及教师培训和绩效考核等方面适当向重点学科专业、重点建设学科专业倾斜。</w:t>
      </w:r>
    </w:p>
    <w:p>
      <w:pPr>
        <w:spacing w:line="580" w:lineRule="exact"/>
        <w:ind w:firstLine="600" w:firstLineChars="200"/>
        <w:rPr>
          <w:rFonts w:ascii="楷体" w:eastAsia="楷体" w:hAnsi="楷体" w:cs="楷体"/>
          <w:b/>
          <w:bCs/>
          <w:sz w:val="30"/>
          <w:szCs w:val="30"/>
        </w:rPr>
      </w:pPr>
      <w:bookmarkStart w:id="101" w:name="_Toc475460672"/>
      <w:bookmarkStart w:id="102" w:name="_Toc7002_WPSOffice_Level2"/>
      <w:bookmarkStart w:id="103" w:name="_Toc476124597"/>
      <w:r>
        <w:rPr>
          <w:rFonts w:ascii="楷体" w:eastAsia="楷体" w:hAnsi="楷体" w:cs="楷体" w:hint="eastAsia"/>
          <w:b/>
          <w:bCs/>
          <w:sz w:val="30"/>
          <w:szCs w:val="30"/>
        </w:rPr>
        <w:t>（四）制度保障</w:t>
      </w:r>
      <w:bookmarkEnd w:id="101"/>
      <w:bookmarkEnd w:id="102"/>
      <w:bookmarkEnd w:id="103"/>
    </w:p>
    <w:p>
      <w:pPr>
        <w:spacing w:line="580" w:lineRule="exact"/>
        <w:ind w:firstLine="600" w:firstLineChars="200"/>
        <w:rPr>
          <w:rFonts w:ascii="仿宋" w:eastAsia="仿宋" w:hAnsi="仿宋"/>
          <w:sz w:val="30"/>
          <w:szCs w:val="30"/>
        </w:rPr>
      </w:pPr>
      <w:r>
        <w:rPr>
          <w:rFonts w:ascii="仿宋" w:eastAsia="仿宋" w:hAnsi="仿宋" w:hint="eastAsia"/>
          <w:sz w:val="30"/>
          <w:szCs w:val="30"/>
        </w:rPr>
        <w:t>制定科学的学科专业建设管理制度和学科专业建设成效评估指标体系，适时进行中期检查和验收。对达不到建设预期的学科专业将终止经费投入，对建设成效显著的学科专业将给予适当的奖励并推荐申报上一级学科专业建设立项。</w:t>
      </w:r>
    </w:p>
    <w:p>
      <w:pPr>
        <w:spacing w:line="580" w:lineRule="exact"/>
        <w:ind w:firstLine="600" w:firstLineChars="200"/>
        <w:rPr>
          <w:rFonts w:ascii="楷体" w:eastAsia="楷体" w:hAnsi="楷体" w:cs="楷体"/>
          <w:b/>
          <w:bCs/>
          <w:sz w:val="30"/>
          <w:szCs w:val="30"/>
        </w:rPr>
      </w:pPr>
      <w:bookmarkStart w:id="104" w:name="_Toc476124598"/>
      <w:bookmarkStart w:id="105" w:name="_Toc310_WPSOffice_Level2"/>
      <w:bookmarkStart w:id="106" w:name="_Toc475460673"/>
      <w:r>
        <w:rPr>
          <w:rFonts w:ascii="楷体" w:eastAsia="楷体" w:hAnsi="楷体" w:cs="楷体" w:hint="eastAsia"/>
          <w:b/>
          <w:bCs/>
          <w:sz w:val="30"/>
          <w:szCs w:val="30"/>
        </w:rPr>
        <w:t>（五）体系保障</w:t>
      </w:r>
      <w:bookmarkEnd w:id="104"/>
      <w:bookmarkEnd w:id="105"/>
      <w:bookmarkEnd w:id="106"/>
    </w:p>
    <w:p>
      <w:pPr>
        <w:spacing w:line="580" w:lineRule="exact"/>
        <w:ind w:firstLine="600" w:firstLineChars="200"/>
        <w:rPr>
          <w:rFonts w:ascii="仿宋" w:eastAsia="仿宋" w:hAnsi="仿宋"/>
          <w:sz w:val="30"/>
          <w:szCs w:val="30"/>
        </w:rPr>
      </w:pPr>
      <w:r>
        <w:rPr>
          <w:rFonts w:ascii="仿宋" w:eastAsia="仿宋" w:hAnsi="仿宋" w:hint="eastAsia"/>
          <w:sz w:val="30"/>
          <w:szCs w:val="30"/>
        </w:rPr>
        <w:t>完善质量自我保障与评价体系。以现行教学基本评价制度为基础，积极创建制度运行的具体机制，多方面、多层次开展教学自我评价工作。</w:t>
      </w:r>
    </w:p>
    <w:p>
      <w:pPr>
        <w:spacing w:line="580" w:lineRule="exact"/>
        <w:ind w:firstLine="600" w:firstLineChars="200"/>
        <w:rPr>
          <w:rFonts w:ascii="仿宋" w:eastAsia="仿宋" w:hAnsi="仿宋" w:cs="仿宋"/>
          <w:sz w:val="30"/>
          <w:szCs w:val="30"/>
        </w:rPr>
      </w:pPr>
      <w:r>
        <w:rPr>
          <w:rFonts w:ascii="仿宋" w:eastAsia="仿宋" w:hAnsi="仿宋" w:hint="eastAsia"/>
          <w:sz w:val="30"/>
          <w:szCs w:val="30"/>
        </w:rPr>
        <w:t>总之，学校要主动适应国家战略和地方经济社会发展需求，优化学科专业结构，加强学科专业内涵建设，创新人才培养模式，大力提升人才培养质量，经过</w:t>
      </w:r>
      <w:r>
        <w:rPr>
          <w:rFonts w:ascii="仿宋" w:eastAsia="仿宋" w:hAnsi="仿宋" w:hint="eastAsia"/>
          <w:sz w:val="30"/>
          <w:szCs w:val="30"/>
        </w:rPr>
        <w:t>“</w:t>
      </w:r>
      <w:r>
        <w:rPr>
          <w:rFonts w:ascii="仿宋" w:eastAsia="仿宋" w:hAnsi="仿宋" w:hint="eastAsia"/>
          <w:sz w:val="30"/>
          <w:szCs w:val="30"/>
        </w:rPr>
        <w:t>十三五</w:t>
      </w:r>
      <w:r>
        <w:rPr>
          <w:rFonts w:ascii="仿宋" w:eastAsia="仿宋" w:hAnsi="仿宋" w:hint="eastAsia"/>
          <w:sz w:val="30"/>
          <w:szCs w:val="30"/>
        </w:rPr>
        <w:t>”</w:t>
      </w:r>
      <w:r>
        <w:rPr>
          <w:rFonts w:ascii="仿宋" w:eastAsia="仿宋" w:hAnsi="仿宋" w:hint="eastAsia"/>
          <w:sz w:val="30"/>
          <w:szCs w:val="30"/>
        </w:rPr>
        <w:t>规划实施，为国家和地方经济社会发展做出更大贡献。</w:t>
      </w:r>
    </w:p>
    <w:p>
      <w:pPr>
        <w:spacing w:line="580" w:lineRule="exact"/>
        <w:rPr>
          <w:rFonts w:ascii="仿宋" w:eastAsia="仿宋" w:hAnsi="仿宋" w:cs="宋体"/>
          <w:sz w:val="30"/>
          <w:szCs w:val="30"/>
        </w:rPr>
      </w:pPr>
    </w:p>
    <w:p>
      <w:pPr>
        <w:spacing w:line="580" w:lineRule="exact"/>
        <w:ind w:firstLine="600" w:firstLineChars="200"/>
        <w:rPr>
          <w:rFonts w:ascii="仿宋" w:eastAsia="仿宋" w:hAnsi="仿宋" w:cs="宋体"/>
          <w:sz w:val="30"/>
          <w:szCs w:val="30"/>
        </w:rPr>
      </w:pPr>
      <w:bookmarkStart w:id="107" w:name="_Toc2307_WPSOffice_Level1"/>
      <w:r>
        <w:rPr>
          <w:rFonts w:ascii="仿宋" w:eastAsia="仿宋" w:hAnsi="仿宋" w:cs="宋体" w:hint="eastAsia"/>
          <w:sz w:val="30"/>
          <w:szCs w:val="30"/>
        </w:rPr>
        <w:t>附件：1.河北科技学院现有本科专业设置一览表</w:t>
      </w:r>
      <w:bookmarkEnd w:id="107"/>
    </w:p>
    <w:p>
      <w:pPr>
        <w:spacing w:line="580" w:lineRule="exact"/>
        <w:ind w:firstLine="1500" w:firstLineChars="500"/>
        <w:rPr>
          <w:rFonts w:ascii="仿宋" w:eastAsia="仿宋" w:hAnsi="仿宋" w:cs="宋体"/>
          <w:sz w:val="30"/>
          <w:szCs w:val="30"/>
        </w:rPr>
      </w:pPr>
      <w:bookmarkStart w:id="108" w:name="_Toc21657_WPSOffice_Level2"/>
      <w:r>
        <w:rPr>
          <w:rFonts w:ascii="仿宋" w:eastAsia="仿宋" w:hAnsi="仿宋" w:cs="宋体" w:hint="eastAsia"/>
          <w:sz w:val="30"/>
          <w:szCs w:val="30"/>
        </w:rPr>
        <w:t>2.河北科技学院五大专业集群一览表</w:t>
      </w:r>
      <w:bookmarkEnd w:id="108"/>
    </w:p>
    <w:p>
      <w:pPr>
        <w:spacing w:line="580" w:lineRule="exact"/>
        <w:ind w:firstLine="1500" w:firstLineChars="500"/>
        <w:rPr>
          <w:rFonts w:ascii="仿宋" w:eastAsia="仿宋" w:hAnsi="仿宋" w:cs="宋体"/>
          <w:sz w:val="30"/>
          <w:szCs w:val="30"/>
        </w:rPr>
      </w:pPr>
      <w:bookmarkStart w:id="109" w:name="_Toc24751_WPSOffice_Level2"/>
      <w:r>
        <w:rPr>
          <w:rFonts w:ascii="仿宋" w:eastAsia="仿宋" w:hAnsi="仿宋" w:cs="宋体" w:hint="eastAsia"/>
          <w:sz w:val="30"/>
          <w:szCs w:val="30"/>
        </w:rPr>
        <w:t>3.河北科技学院2016</w:t>
      </w:r>
      <w:r>
        <w:rPr>
          <w:rFonts w:ascii="仿宋" w:eastAsia="仿宋" w:hAnsi="仿宋" w:cs="宋体" w:hint="eastAsia"/>
          <w:sz w:val="30"/>
          <w:szCs w:val="30"/>
        </w:rPr>
        <w:t>—</w:t>
      </w:r>
      <w:r>
        <w:rPr>
          <w:rFonts w:ascii="仿宋" w:eastAsia="仿宋" w:hAnsi="仿宋" w:cs="宋体" w:hint="eastAsia"/>
          <w:sz w:val="30"/>
          <w:szCs w:val="30"/>
        </w:rPr>
        <w:t>2020年本科专业建设发展规划表</w:t>
      </w:r>
      <w:bookmarkEnd w:id="109"/>
    </w:p>
    <w:p>
      <w:pPr>
        <w:spacing w:line="580" w:lineRule="exact"/>
        <w:ind w:firstLine="1500" w:firstLineChars="500"/>
        <w:rPr>
          <w:rFonts w:ascii="仿宋" w:eastAsia="仿宋" w:hAnsi="仿宋" w:cs="宋体"/>
          <w:sz w:val="30"/>
          <w:szCs w:val="30"/>
        </w:rPr>
      </w:pPr>
      <w:bookmarkStart w:id="110" w:name="_Toc26748_WPSOffice_Level2"/>
      <w:r>
        <w:rPr>
          <w:rFonts w:ascii="仿宋" w:eastAsia="仿宋" w:hAnsi="仿宋" w:cs="宋体" w:hint="eastAsia"/>
          <w:sz w:val="30"/>
          <w:szCs w:val="30"/>
        </w:rPr>
        <w:t>4.河北科技学院2016-2020年专业硕士点培育发展规划表</w:t>
      </w:r>
      <w:bookmarkEnd w:id="110"/>
    </w:p>
    <w:p>
      <w:pPr>
        <w:pStyle w:val="NormalWeb"/>
        <w:wordWrap w:val="0"/>
        <w:spacing w:beforeAutospacing="0" w:afterAutospacing="0" w:line="520" w:lineRule="exact"/>
        <w:rPr>
          <w:rFonts w:ascii="仿宋" w:eastAsia="仿宋" w:hAnsi="仿宋" w:cs="仿宋"/>
          <w:sz w:val="32"/>
          <w:szCs w:val="32"/>
        </w:rPr>
      </w:pPr>
    </w:p>
    <w:p>
      <w:pPr>
        <w:rPr>
          <w:rFonts w:ascii="仿宋" w:eastAsia="仿宋" w:hAnsi="仿宋" w:cs="仿宋"/>
          <w:sz w:val="32"/>
          <w:szCs w:val="32"/>
        </w:rPr>
      </w:pPr>
      <w:r>
        <w:rPr>
          <w:rFonts w:ascii="仿宋" w:eastAsia="仿宋" w:hAnsi="仿宋" w:cs="仿宋" w:hint="eastAsia"/>
          <w:sz w:val="32"/>
          <w:szCs w:val="32"/>
        </w:rPr>
        <w:t xml:space="preserve">                  </w:t>
      </w:r>
    </w:p>
    <w:p>
      <w:pPr>
        <w:rPr>
          <w:rFonts w:ascii="仿宋" w:eastAsia="仿宋" w:hAnsi="仿宋" w:cs="仿宋"/>
          <w:sz w:val="32"/>
          <w:szCs w:val="32"/>
        </w:rPr>
      </w:pPr>
    </w:p>
    <w:p>
      <w:pPr>
        <w:rPr>
          <w:rFonts w:ascii="仿宋" w:eastAsia="仿宋" w:hAnsi="仿宋" w:cs="仿宋"/>
          <w:sz w:val="32"/>
          <w:szCs w:val="32"/>
        </w:rPr>
      </w:pPr>
    </w:p>
    <w:p>
      <w:pPr>
        <w:rPr>
          <w:rFonts w:ascii="仿宋" w:eastAsia="仿宋" w:hAnsi="仿宋"/>
          <w:sz w:val="28"/>
          <w:szCs w:val="28"/>
        </w:rPr>
      </w:pPr>
    </w:p>
    <w:p>
      <w:pPr>
        <w:rPr>
          <w:rFonts w:ascii="仿宋" w:eastAsia="仿宋" w:hAnsi="仿宋"/>
          <w:sz w:val="28"/>
          <w:szCs w:val="28"/>
        </w:rPr>
      </w:pPr>
    </w:p>
    <w:p>
      <w:pPr>
        <w:rPr>
          <w:rFonts w:ascii="仿宋" w:eastAsia="仿宋" w:hAnsi="仿宋"/>
          <w:sz w:val="28"/>
          <w:szCs w:val="28"/>
        </w:rPr>
      </w:pPr>
    </w:p>
    <w:p>
      <w:pPr>
        <w:rPr>
          <w:rFonts w:ascii="仿宋" w:eastAsia="仿宋" w:hAnsi="仿宋"/>
          <w:sz w:val="28"/>
          <w:szCs w:val="28"/>
        </w:rPr>
      </w:pPr>
    </w:p>
    <w:p>
      <w:pPr>
        <w:rPr>
          <w:rFonts w:ascii="仿宋" w:eastAsia="仿宋" w:hAnsi="仿宋"/>
          <w:sz w:val="28"/>
          <w:szCs w:val="28"/>
        </w:rPr>
      </w:pPr>
    </w:p>
    <w:p>
      <w:pPr>
        <w:rPr>
          <w:rFonts w:ascii="仿宋" w:eastAsia="仿宋" w:hAnsi="仿宋"/>
          <w:sz w:val="28"/>
          <w:szCs w:val="28"/>
        </w:rPr>
      </w:pPr>
    </w:p>
    <w:p>
      <w:pPr>
        <w:rPr>
          <w:rFonts w:ascii="仿宋" w:eastAsia="仿宋" w:hAnsi="仿宋"/>
          <w:sz w:val="28"/>
          <w:szCs w:val="28"/>
        </w:rPr>
      </w:pPr>
      <w:bookmarkStart w:id="111" w:name="_Toc16504_WPSOffice_Level2"/>
      <w:r>
        <w:rPr>
          <w:rFonts w:ascii="仿宋" w:eastAsia="仿宋" w:hAnsi="仿宋" w:hint="eastAsia"/>
          <w:sz w:val="28"/>
          <w:szCs w:val="28"/>
        </w:rPr>
        <w:t>附件1：</w:t>
      </w:r>
      <w:bookmarkEnd w:id="111"/>
    </w:p>
    <w:p>
      <w:pPr>
        <w:jc w:val="center"/>
        <w:rPr>
          <w:rFonts w:ascii="黑体" w:eastAsia="黑体" w:hAnsi="黑体"/>
          <w:szCs w:val="21"/>
        </w:rPr>
      </w:pPr>
      <w:r>
        <w:rPr>
          <w:rFonts w:ascii="黑体" w:eastAsia="黑体" w:hAnsi="黑体" w:hint="eastAsia"/>
          <w:szCs w:val="21"/>
        </w:rPr>
        <w:t>河北科技学院现有本科专业设置一览表</w:t>
      </w:r>
    </w:p>
    <w:tbl>
      <w:tblPr>
        <w:tblStyle w:val="TableNormal"/>
        <w:tblW w:w="9453" w:type="dxa"/>
        <w:jc w:val="center"/>
        <w:tblLayout w:type="fixed"/>
        <w:tblCellMar>
          <w:top w:w="0" w:type="dxa"/>
          <w:left w:w="108" w:type="dxa"/>
          <w:bottom w:w="0" w:type="dxa"/>
          <w:right w:w="108" w:type="dxa"/>
        </w:tblCellMar>
        <w:tblLook w:val="0000"/>
      </w:tblPr>
      <w:tblGrid>
        <w:gridCol w:w="641"/>
        <w:gridCol w:w="1134"/>
        <w:gridCol w:w="2551"/>
        <w:gridCol w:w="1134"/>
        <w:gridCol w:w="1843"/>
        <w:gridCol w:w="2150"/>
      </w:tblGrid>
      <w:tr>
        <w:tblPrEx>
          <w:tblW w:w="9453" w:type="dxa"/>
          <w:jc w:val="center"/>
          <w:tblLayout w:type="fixed"/>
          <w:tblCellMar>
            <w:top w:w="0" w:type="dxa"/>
            <w:left w:w="108" w:type="dxa"/>
            <w:bottom w:w="0" w:type="dxa"/>
            <w:right w:w="108" w:type="dxa"/>
          </w:tblCellMar>
          <w:tblLook w:val="0000"/>
        </w:tblPrEx>
        <w:trPr>
          <w:cantSplit/>
          <w:trHeight w:hRule="exact" w:val="351"/>
          <w:jc w:val="center"/>
        </w:trPr>
        <w:tc>
          <w:tcPr>
            <w:tcW w:w="641"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 w:eastAsia="仿宋" w:hAnsi="仿宋" w:cs="宋体"/>
                <w:b/>
                <w:kern w:val="0"/>
                <w:szCs w:val="21"/>
              </w:rPr>
            </w:pPr>
            <w:r>
              <w:rPr>
                <w:rFonts w:ascii="仿宋" w:eastAsia="仿宋" w:hAnsi="仿宋" w:cs="宋体" w:hint="eastAsia"/>
                <w:b/>
                <w:kern w:val="0"/>
                <w:szCs w:val="21"/>
              </w:rPr>
              <w:t>序号</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b/>
                <w:bCs/>
                <w:kern w:val="0"/>
                <w:szCs w:val="21"/>
              </w:rPr>
            </w:pPr>
            <w:r>
              <w:rPr>
                <w:rFonts w:ascii="仿宋" w:eastAsia="仿宋" w:hAnsi="仿宋" w:cs="宋体" w:hint="eastAsia"/>
                <w:b/>
                <w:bCs/>
                <w:kern w:val="0"/>
                <w:szCs w:val="21"/>
              </w:rPr>
              <w:t>专业代码</w:t>
            </w:r>
          </w:p>
        </w:tc>
        <w:tc>
          <w:tcPr>
            <w:tcW w:w="2551"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b/>
                <w:bCs/>
                <w:kern w:val="0"/>
                <w:szCs w:val="21"/>
              </w:rPr>
            </w:pPr>
            <w:r>
              <w:rPr>
                <w:rFonts w:ascii="仿宋" w:eastAsia="仿宋" w:hAnsi="仿宋" w:cs="宋体" w:hint="eastAsia"/>
                <w:b/>
                <w:bCs/>
                <w:kern w:val="0"/>
                <w:szCs w:val="21"/>
              </w:rPr>
              <w:t>专业名称</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b/>
                <w:bCs/>
                <w:kern w:val="0"/>
                <w:szCs w:val="21"/>
              </w:rPr>
            </w:pPr>
            <w:r>
              <w:rPr>
                <w:rFonts w:ascii="仿宋" w:eastAsia="仿宋" w:hAnsi="仿宋" w:cs="宋体" w:hint="eastAsia"/>
                <w:b/>
                <w:bCs/>
                <w:kern w:val="0"/>
                <w:szCs w:val="21"/>
              </w:rPr>
              <w:t>学科门类</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b/>
                <w:bCs/>
                <w:kern w:val="0"/>
                <w:szCs w:val="21"/>
              </w:rPr>
            </w:pPr>
            <w:r>
              <w:rPr>
                <w:rFonts w:ascii="仿宋" w:eastAsia="仿宋" w:hAnsi="仿宋" w:cs="宋体" w:hint="eastAsia"/>
                <w:b/>
                <w:bCs/>
                <w:kern w:val="0"/>
                <w:szCs w:val="21"/>
              </w:rPr>
              <w:t>二级学科类别</w:t>
            </w:r>
          </w:p>
        </w:tc>
        <w:tc>
          <w:tcPr>
            <w:tcW w:w="2150"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b/>
                <w:bCs/>
                <w:kern w:val="0"/>
                <w:szCs w:val="21"/>
              </w:rPr>
            </w:pPr>
            <w:r>
              <w:rPr>
                <w:rFonts w:ascii="仿宋" w:eastAsia="仿宋" w:hAnsi="仿宋" w:cs="宋体" w:hint="eastAsia"/>
                <w:b/>
                <w:bCs/>
                <w:kern w:val="0"/>
                <w:szCs w:val="21"/>
              </w:rPr>
              <w:t>所属院部</w:t>
            </w:r>
          </w:p>
        </w:tc>
      </w:tr>
      <w:tr>
        <w:tblPrEx>
          <w:tblW w:w="9453" w:type="dxa"/>
          <w:jc w:val="center"/>
          <w:tblLayout w:type="fixed"/>
          <w:tblCellMar>
            <w:top w:w="0" w:type="dxa"/>
            <w:left w:w="108" w:type="dxa"/>
            <w:bottom w:w="0" w:type="dxa"/>
            <w:right w:w="108" w:type="dxa"/>
          </w:tblCellMar>
          <w:tblLook w:val="0000"/>
        </w:tblPrEx>
        <w:trPr>
          <w:cantSplit/>
          <w:trHeight w:hRule="exact" w:val="326"/>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w:t>
            </w:r>
          </w:p>
        </w:tc>
        <w:tc>
          <w:tcPr>
            <w:tcW w:w="1134" w:type="dxa"/>
            <w:tcBorders>
              <w:top w:val="single" w:sz="8"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080208</w:t>
            </w:r>
          </w:p>
        </w:tc>
        <w:tc>
          <w:tcPr>
            <w:tcW w:w="2551" w:type="dxa"/>
            <w:tcBorders>
              <w:top w:val="single" w:sz="8"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汽车服务工程</w:t>
            </w:r>
          </w:p>
        </w:tc>
        <w:tc>
          <w:tcPr>
            <w:tcW w:w="1134" w:type="dxa"/>
            <w:tcBorders>
              <w:top w:val="single" w:sz="8"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single" w:sz="8"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机械类</w:t>
            </w:r>
          </w:p>
        </w:tc>
        <w:tc>
          <w:tcPr>
            <w:tcW w:w="2150" w:type="dxa"/>
            <w:tcBorders>
              <w:top w:val="nil"/>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汽车工程学院</w:t>
            </w:r>
          </w:p>
        </w:tc>
      </w:tr>
      <w:tr>
        <w:tblPrEx>
          <w:tblW w:w="9453" w:type="dxa"/>
          <w:jc w:val="center"/>
          <w:tblLayout w:type="fixed"/>
          <w:tblCellMar>
            <w:top w:w="0" w:type="dxa"/>
            <w:left w:w="108" w:type="dxa"/>
            <w:bottom w:w="0" w:type="dxa"/>
            <w:right w:w="108" w:type="dxa"/>
          </w:tblCellMar>
          <w:tblLook w:val="0000"/>
        </w:tblPrEx>
        <w:trPr>
          <w:cantSplit/>
          <w:trHeight w:hRule="exact" w:val="26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081801</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交通运输</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交通运输类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汽车工程学院</w:t>
            </w:r>
          </w:p>
        </w:tc>
      </w:tr>
      <w:tr>
        <w:tblPrEx>
          <w:tblW w:w="9453" w:type="dxa"/>
          <w:jc w:val="center"/>
          <w:tblLayout w:type="fixed"/>
          <w:tblCellMar>
            <w:top w:w="0" w:type="dxa"/>
            <w:left w:w="108" w:type="dxa"/>
            <w:bottom w:w="0" w:type="dxa"/>
            <w:right w:w="108" w:type="dxa"/>
          </w:tblCellMar>
          <w:tblLook w:val="0000"/>
        </w:tblPrEx>
        <w:trPr>
          <w:cantSplit/>
          <w:trHeight w:hRule="exact" w:val="296"/>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3</w:t>
            </w:r>
          </w:p>
        </w:tc>
        <w:tc>
          <w:tcPr>
            <w:tcW w:w="1134" w:type="dxa"/>
            <w:tcBorders>
              <w:top w:val="nil"/>
              <w:left w:val="nil"/>
              <w:bottom w:val="single" w:sz="8"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080207</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车辆工程</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汽车工程学院</w:t>
            </w:r>
          </w:p>
        </w:tc>
      </w:tr>
      <w:tr>
        <w:tblPrEx>
          <w:tblW w:w="9453" w:type="dxa"/>
          <w:jc w:val="center"/>
          <w:tblLayout w:type="fixed"/>
          <w:tblCellMar>
            <w:top w:w="0" w:type="dxa"/>
            <w:left w:w="108" w:type="dxa"/>
            <w:bottom w:w="0" w:type="dxa"/>
            <w:right w:w="108" w:type="dxa"/>
          </w:tblCellMar>
          <w:tblLook w:val="0000"/>
        </w:tblPrEx>
        <w:trPr>
          <w:cantSplit/>
          <w:trHeight w:hRule="exact" w:val="282"/>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4</w:t>
            </w:r>
          </w:p>
        </w:tc>
        <w:tc>
          <w:tcPr>
            <w:tcW w:w="1134" w:type="dxa"/>
            <w:tcBorders>
              <w:top w:val="nil"/>
              <w:left w:val="nil"/>
              <w:bottom w:val="single" w:sz="8"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081802</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交通工程</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交通运输类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汽车工程学院</w:t>
            </w:r>
          </w:p>
        </w:tc>
      </w:tr>
      <w:tr>
        <w:tblPrEx>
          <w:tblW w:w="9453" w:type="dxa"/>
          <w:jc w:val="center"/>
          <w:tblLayout w:type="fixed"/>
          <w:tblCellMar>
            <w:top w:w="0" w:type="dxa"/>
            <w:left w:w="108" w:type="dxa"/>
            <w:bottom w:w="0" w:type="dxa"/>
            <w:right w:w="108" w:type="dxa"/>
          </w:tblCellMar>
          <w:tblLook w:val="0000"/>
        </w:tblPrEx>
        <w:trPr>
          <w:cantSplit/>
          <w:trHeight w:hRule="exact" w:val="272"/>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5</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080202</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机械设计制造及其自动化</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422"/>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6</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080601</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电气工程及其自动化</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电气类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72"/>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7</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080901</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计算机科学与技术</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计算机类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90"/>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8</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080801</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自动化</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自动化类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80"/>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9</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081004</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建筑电气与智能化</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土木类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8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10</w:t>
            </w:r>
          </w:p>
        </w:tc>
        <w:tc>
          <w:tcPr>
            <w:tcW w:w="1134" w:type="dxa"/>
            <w:tcBorders>
              <w:top w:val="nil"/>
              <w:left w:val="nil"/>
              <w:bottom w:val="single" w:sz="8"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080905</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物联网工程</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计算机类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98"/>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11</w:t>
            </w:r>
          </w:p>
        </w:tc>
        <w:tc>
          <w:tcPr>
            <w:tcW w:w="1134" w:type="dxa"/>
            <w:tcBorders>
              <w:top w:val="nil"/>
              <w:left w:val="nil"/>
              <w:bottom w:val="single" w:sz="8"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080204</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机械电子工程</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智能制造工程学院</w:t>
            </w:r>
          </w:p>
        </w:tc>
      </w:tr>
      <w:tr>
        <w:tblPrEx>
          <w:tblW w:w="9453" w:type="dxa"/>
          <w:jc w:val="center"/>
          <w:tblLayout w:type="fixed"/>
          <w:tblCellMar>
            <w:top w:w="0" w:type="dxa"/>
            <w:left w:w="108" w:type="dxa"/>
            <w:bottom w:w="0" w:type="dxa"/>
            <w:right w:w="108" w:type="dxa"/>
          </w:tblCellMar>
          <w:tblLook w:val="0000"/>
        </w:tblPrEx>
        <w:trPr>
          <w:cantSplit/>
          <w:trHeight w:hRule="exact" w:val="27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12</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120203K</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会计学</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管理学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工商管理类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经济管理学院</w:t>
            </w:r>
          </w:p>
        </w:tc>
      </w:tr>
      <w:tr>
        <w:tblPrEx>
          <w:tblW w:w="9453" w:type="dxa"/>
          <w:jc w:val="center"/>
          <w:tblLayout w:type="fixed"/>
          <w:tblCellMar>
            <w:top w:w="0" w:type="dxa"/>
            <w:left w:w="108" w:type="dxa"/>
            <w:bottom w:w="0" w:type="dxa"/>
            <w:right w:w="108" w:type="dxa"/>
          </w:tblCellMar>
          <w:tblLook w:val="0000"/>
        </w:tblPrEx>
        <w:trPr>
          <w:cantSplit/>
          <w:trHeight w:hRule="exact" w:val="36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13</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120204</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财务管理</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管理学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工商管理类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经济管理学院</w:t>
            </w:r>
          </w:p>
        </w:tc>
      </w:tr>
      <w:tr>
        <w:tblPrEx>
          <w:tblW w:w="9453" w:type="dxa"/>
          <w:jc w:val="center"/>
          <w:tblLayout w:type="fixed"/>
          <w:tblCellMar>
            <w:top w:w="0" w:type="dxa"/>
            <w:left w:w="108" w:type="dxa"/>
            <w:bottom w:w="0" w:type="dxa"/>
            <w:right w:w="108" w:type="dxa"/>
          </w:tblCellMar>
          <w:tblLook w:val="0000"/>
        </w:tblPrEx>
        <w:trPr>
          <w:cantSplit/>
          <w:trHeight w:hRule="exact" w:val="288"/>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14</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120601</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物流管理</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管理学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物流管理与工程类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经济管理学院</w:t>
            </w:r>
          </w:p>
        </w:tc>
      </w:tr>
      <w:tr>
        <w:tblPrEx>
          <w:tblW w:w="9453" w:type="dxa"/>
          <w:jc w:val="center"/>
          <w:tblLayout w:type="fixed"/>
          <w:tblCellMar>
            <w:top w:w="0" w:type="dxa"/>
            <w:left w:w="108" w:type="dxa"/>
            <w:bottom w:w="0" w:type="dxa"/>
            <w:right w:w="108" w:type="dxa"/>
          </w:tblCellMar>
          <w:tblLook w:val="0000"/>
        </w:tblPrEx>
        <w:trPr>
          <w:cantSplit/>
          <w:trHeight w:hRule="exact" w:val="278"/>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15</w:t>
            </w:r>
          </w:p>
        </w:tc>
        <w:tc>
          <w:tcPr>
            <w:tcW w:w="1134" w:type="dxa"/>
            <w:tcBorders>
              <w:top w:val="nil"/>
              <w:left w:val="nil"/>
              <w:bottom w:val="single" w:sz="8"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20304</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投资学</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经济学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金融学类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经济管理学院</w:t>
            </w:r>
          </w:p>
        </w:tc>
      </w:tr>
      <w:tr>
        <w:tblPrEx>
          <w:tblW w:w="9453" w:type="dxa"/>
          <w:jc w:val="center"/>
          <w:tblLayout w:type="fixed"/>
          <w:tblCellMar>
            <w:top w:w="0" w:type="dxa"/>
            <w:left w:w="108" w:type="dxa"/>
            <w:bottom w:w="0" w:type="dxa"/>
            <w:right w:w="108" w:type="dxa"/>
          </w:tblCellMar>
          <w:tblLook w:val="0000"/>
        </w:tblPrEx>
        <w:trPr>
          <w:cantSplit/>
          <w:trHeight w:hRule="exact" w:val="306"/>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16</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130503</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环境设计</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设计学类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艺术学院</w:t>
            </w:r>
          </w:p>
        </w:tc>
      </w:tr>
      <w:tr>
        <w:tblPrEx>
          <w:tblW w:w="9453" w:type="dxa"/>
          <w:jc w:val="center"/>
          <w:tblLayout w:type="fixed"/>
          <w:tblCellMar>
            <w:top w:w="0" w:type="dxa"/>
            <w:left w:w="108" w:type="dxa"/>
            <w:bottom w:w="0" w:type="dxa"/>
            <w:right w:w="108" w:type="dxa"/>
          </w:tblCellMar>
          <w:tblLook w:val="0000"/>
        </w:tblPrEx>
        <w:trPr>
          <w:cantSplit/>
          <w:trHeight w:hRule="exact" w:val="258"/>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17</w:t>
            </w:r>
          </w:p>
        </w:tc>
        <w:tc>
          <w:tcPr>
            <w:tcW w:w="1134"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080205</w:t>
            </w:r>
          </w:p>
        </w:tc>
        <w:tc>
          <w:tcPr>
            <w:tcW w:w="2551" w:type="dxa"/>
            <w:tcBorders>
              <w:top w:val="single" w:sz="4"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工业设计</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机械类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艺术学院</w:t>
            </w:r>
          </w:p>
        </w:tc>
      </w:tr>
      <w:tr>
        <w:tblPrEx>
          <w:tblW w:w="9453" w:type="dxa"/>
          <w:jc w:val="center"/>
          <w:tblLayout w:type="fixed"/>
          <w:tblCellMar>
            <w:top w:w="0" w:type="dxa"/>
            <w:left w:w="108" w:type="dxa"/>
            <w:bottom w:w="0" w:type="dxa"/>
            <w:right w:w="108" w:type="dxa"/>
          </w:tblCellMar>
          <w:tblLook w:val="0000"/>
        </w:tblPrEx>
        <w:trPr>
          <w:cantSplit/>
          <w:trHeight w:hRule="exact" w:val="276"/>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18</w:t>
            </w:r>
          </w:p>
        </w:tc>
        <w:tc>
          <w:tcPr>
            <w:tcW w:w="1134"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130506</w:t>
            </w:r>
          </w:p>
        </w:tc>
        <w:tc>
          <w:tcPr>
            <w:tcW w:w="2551" w:type="dxa"/>
            <w:tcBorders>
              <w:top w:val="single" w:sz="4"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公共艺术</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设计学类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艺术学院</w:t>
            </w:r>
          </w:p>
        </w:tc>
      </w:tr>
      <w:tr>
        <w:tblPrEx>
          <w:tblW w:w="9453" w:type="dxa"/>
          <w:jc w:val="center"/>
          <w:tblLayout w:type="fixed"/>
          <w:tblCellMar>
            <w:top w:w="0" w:type="dxa"/>
            <w:left w:w="108" w:type="dxa"/>
            <w:bottom w:w="0" w:type="dxa"/>
            <w:right w:w="108" w:type="dxa"/>
          </w:tblCellMar>
          <w:tblLook w:val="0000"/>
        </w:tblPrEx>
        <w:trPr>
          <w:cantSplit/>
          <w:trHeight w:hRule="exact" w:val="29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19</w:t>
            </w:r>
          </w:p>
        </w:tc>
        <w:tc>
          <w:tcPr>
            <w:tcW w:w="1134"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130309</w:t>
            </w:r>
          </w:p>
        </w:tc>
        <w:tc>
          <w:tcPr>
            <w:tcW w:w="2551" w:type="dxa"/>
            <w:tcBorders>
              <w:top w:val="single" w:sz="4"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播音与主持艺术</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戏剧与影视学类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艺术学院</w:t>
            </w:r>
          </w:p>
        </w:tc>
      </w:tr>
      <w:tr>
        <w:tblPrEx>
          <w:tblW w:w="9453" w:type="dxa"/>
          <w:jc w:val="center"/>
          <w:tblLayout w:type="fixed"/>
          <w:tblCellMar>
            <w:top w:w="0" w:type="dxa"/>
            <w:left w:w="108" w:type="dxa"/>
            <w:bottom w:w="0" w:type="dxa"/>
            <w:right w:w="108" w:type="dxa"/>
          </w:tblCellMar>
          <w:tblLook w:val="0000"/>
        </w:tblPrEx>
        <w:trPr>
          <w:cantSplit/>
          <w:trHeight w:hRule="exact" w:val="270"/>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20</w:t>
            </w:r>
          </w:p>
        </w:tc>
        <w:tc>
          <w:tcPr>
            <w:tcW w:w="1134"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130305</w:t>
            </w:r>
          </w:p>
        </w:tc>
        <w:tc>
          <w:tcPr>
            <w:tcW w:w="2551" w:type="dxa"/>
            <w:tcBorders>
              <w:top w:val="single" w:sz="4"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广播电视编导</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戏剧与影视学类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艺术学院</w:t>
            </w:r>
          </w:p>
        </w:tc>
      </w:tr>
      <w:tr>
        <w:tblPrEx>
          <w:tblW w:w="9453" w:type="dxa"/>
          <w:jc w:val="center"/>
          <w:tblLayout w:type="fixed"/>
          <w:tblCellMar>
            <w:top w:w="0" w:type="dxa"/>
            <w:left w:w="108" w:type="dxa"/>
            <w:bottom w:w="0" w:type="dxa"/>
            <w:right w:w="108" w:type="dxa"/>
          </w:tblCellMar>
          <w:tblLook w:val="0000"/>
        </w:tblPrEx>
        <w:trPr>
          <w:cantSplit/>
          <w:trHeight w:hRule="exact" w:val="274"/>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081001</w:t>
            </w:r>
          </w:p>
        </w:tc>
        <w:tc>
          <w:tcPr>
            <w:tcW w:w="2551" w:type="dxa"/>
            <w:tcBorders>
              <w:top w:val="single" w:sz="4" w:space="0" w:color="auto"/>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土木工程</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土木类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建筑工程学院</w:t>
            </w:r>
          </w:p>
        </w:tc>
      </w:tr>
      <w:tr>
        <w:tblPrEx>
          <w:tblW w:w="9453" w:type="dxa"/>
          <w:jc w:val="center"/>
          <w:tblLayout w:type="fixed"/>
          <w:tblCellMar>
            <w:top w:w="0" w:type="dxa"/>
            <w:left w:w="108" w:type="dxa"/>
            <w:bottom w:w="0" w:type="dxa"/>
            <w:right w:w="108" w:type="dxa"/>
          </w:tblCellMar>
          <w:tblLook w:val="0000"/>
        </w:tblPrEx>
        <w:trPr>
          <w:cantSplit/>
          <w:trHeight w:hRule="exact" w:val="292"/>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22</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120103</w:t>
            </w:r>
          </w:p>
        </w:tc>
        <w:tc>
          <w:tcPr>
            <w:tcW w:w="2551" w:type="dxa"/>
            <w:tcBorders>
              <w:top w:val="nil"/>
              <w:left w:val="nil"/>
              <w:bottom w:val="single" w:sz="4"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工程管理</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管理学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管理科学与工程类</w:t>
            </w:r>
          </w:p>
        </w:tc>
        <w:tc>
          <w:tcPr>
            <w:tcW w:w="2150" w:type="dxa"/>
            <w:tcBorders>
              <w:top w:val="single" w:sz="4" w:space="0" w:color="auto"/>
              <w:left w:val="nil"/>
              <w:bottom w:val="nil"/>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建筑工程学院</w:t>
            </w:r>
          </w:p>
        </w:tc>
      </w:tr>
      <w:tr>
        <w:tblPrEx>
          <w:tblW w:w="9453" w:type="dxa"/>
          <w:jc w:val="center"/>
          <w:tblLayout w:type="fixed"/>
          <w:tblCellMar>
            <w:top w:w="0" w:type="dxa"/>
            <w:left w:w="108" w:type="dxa"/>
            <w:bottom w:w="0" w:type="dxa"/>
            <w:right w:w="108" w:type="dxa"/>
          </w:tblCellMar>
          <w:tblLook w:val="0000"/>
        </w:tblPrEx>
        <w:trPr>
          <w:cantSplit/>
          <w:trHeight w:hRule="exact" w:val="268"/>
          <w:jc w:val="center"/>
        </w:trPr>
        <w:tc>
          <w:tcPr>
            <w:tcW w:w="641" w:type="dxa"/>
            <w:tcBorders>
              <w:top w:val="nil"/>
              <w:left w:val="single" w:sz="4" w:space="0" w:color="auto"/>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23</w:t>
            </w:r>
          </w:p>
        </w:tc>
        <w:tc>
          <w:tcPr>
            <w:tcW w:w="1134" w:type="dxa"/>
            <w:tcBorders>
              <w:top w:val="nil"/>
              <w:left w:val="nil"/>
              <w:bottom w:val="single" w:sz="4" w:space="0" w:color="auto"/>
              <w:right w:val="single" w:sz="4" w:space="0" w:color="auto"/>
            </w:tcBorders>
            <w:shd w:val="clear" w:color="auto" w:fill="auto"/>
            <w:vAlign w:val="center"/>
          </w:tcPr>
          <w:p>
            <w:pPr>
              <w:widowControl/>
              <w:jc w:val="center"/>
              <w:rPr>
                <w:rFonts w:ascii="仿宋" w:eastAsia="仿宋" w:hAnsi="仿宋" w:cs="宋体"/>
                <w:kern w:val="0"/>
                <w:szCs w:val="21"/>
              </w:rPr>
            </w:pPr>
            <w:r>
              <w:rPr>
                <w:rFonts w:ascii="仿宋" w:eastAsia="仿宋" w:hAnsi="仿宋" w:cs="宋体" w:hint="eastAsia"/>
                <w:kern w:val="0"/>
                <w:szCs w:val="21"/>
              </w:rPr>
              <w:t>082803</w:t>
            </w:r>
          </w:p>
        </w:tc>
        <w:tc>
          <w:tcPr>
            <w:tcW w:w="2551" w:type="dxa"/>
            <w:tcBorders>
              <w:top w:val="nil"/>
              <w:left w:val="nil"/>
              <w:bottom w:val="single" w:sz="8" w:space="0" w:color="auto"/>
              <w:right w:val="single" w:sz="4" w:space="0" w:color="auto"/>
            </w:tcBorders>
            <w:shd w:val="clear" w:color="000000" w:fill="FFFFFF"/>
            <w:vAlign w:val="center"/>
          </w:tcPr>
          <w:p>
            <w:pPr>
              <w:widowControl/>
              <w:jc w:val="center"/>
              <w:rPr>
                <w:rFonts w:ascii="仿宋" w:eastAsia="仿宋" w:hAnsi="仿宋" w:cs="宋体"/>
                <w:kern w:val="0"/>
                <w:szCs w:val="21"/>
              </w:rPr>
            </w:pPr>
            <w:r>
              <w:rPr>
                <w:rFonts w:ascii="仿宋" w:eastAsia="仿宋" w:hAnsi="仿宋" w:cs="宋体" w:hint="eastAsia"/>
                <w:kern w:val="0"/>
                <w:szCs w:val="21"/>
              </w:rPr>
              <w:t>风景园林</w:t>
            </w:r>
          </w:p>
        </w:tc>
        <w:tc>
          <w:tcPr>
            <w:tcW w:w="1134"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工学</w:t>
            </w:r>
          </w:p>
        </w:tc>
        <w:tc>
          <w:tcPr>
            <w:tcW w:w="1843" w:type="dxa"/>
            <w:tcBorders>
              <w:top w:val="nil"/>
              <w:left w:val="nil"/>
              <w:bottom w:val="single" w:sz="8"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建筑类</w:t>
            </w:r>
          </w:p>
        </w:tc>
        <w:tc>
          <w:tcPr>
            <w:tcW w:w="2150" w:type="dxa"/>
            <w:tcBorders>
              <w:top w:val="single" w:sz="4" w:space="0" w:color="auto"/>
              <w:left w:val="nil"/>
              <w:bottom w:val="single" w:sz="4" w:space="0" w:color="auto"/>
              <w:right w:val="single" w:sz="4" w:space="0" w:color="auto"/>
            </w:tcBorders>
            <w:vAlign w:val="center"/>
          </w:tcPr>
          <w:p>
            <w:pPr>
              <w:widowControl/>
              <w:jc w:val="center"/>
              <w:rPr>
                <w:rFonts w:ascii="仿宋" w:eastAsia="仿宋" w:hAnsi="仿宋" w:cs="宋体"/>
                <w:kern w:val="0"/>
                <w:szCs w:val="21"/>
              </w:rPr>
            </w:pPr>
            <w:r>
              <w:rPr>
                <w:rFonts w:ascii="仿宋" w:eastAsia="仿宋" w:hAnsi="仿宋" w:cs="宋体" w:hint="eastAsia"/>
                <w:kern w:val="0"/>
                <w:szCs w:val="21"/>
              </w:rPr>
              <w:t>建筑工程学院</w:t>
            </w:r>
          </w:p>
        </w:tc>
      </w:tr>
    </w:tbl>
    <w:p>
      <w:pPr>
        <w:rPr>
          <w:rFonts w:ascii="仿宋" w:eastAsia="仿宋" w:hAnsi="仿宋"/>
          <w:sz w:val="28"/>
          <w:szCs w:val="28"/>
        </w:rPr>
      </w:pPr>
    </w:p>
    <w:p>
      <w:pPr>
        <w:spacing w:line="460" w:lineRule="exact"/>
        <w:rPr>
          <w:rFonts w:ascii="仿宋" w:eastAsia="仿宋" w:hAnsi="仿宋"/>
          <w:sz w:val="28"/>
          <w:szCs w:val="28"/>
        </w:rPr>
      </w:pPr>
      <w:r>
        <w:rPr>
          <w:rFonts w:ascii="仿宋" w:eastAsia="仿宋" w:hAnsi="仿宋" w:hint="eastAsia"/>
          <w:sz w:val="28"/>
          <w:szCs w:val="28"/>
        </w:rPr>
        <w:t>附件2：</w:t>
      </w:r>
    </w:p>
    <w:p>
      <w:pPr>
        <w:widowControl/>
        <w:adjustRightInd w:val="0"/>
        <w:snapToGrid w:val="0"/>
        <w:spacing w:after="156" w:line="460" w:lineRule="exact"/>
        <w:ind w:firstLine="440" w:firstLineChars="200"/>
        <w:jc w:val="center"/>
        <w:rPr>
          <w:rFonts w:ascii="黑体" w:eastAsia="黑体" w:hAnsi="黑体" w:cs="宋体"/>
          <w:bCs/>
          <w:szCs w:val="21"/>
        </w:rPr>
      </w:pPr>
      <w:r>
        <w:rPr>
          <w:rFonts w:ascii="黑体" w:eastAsia="黑体" w:hAnsi="黑体" w:cs="宋体" w:hint="eastAsia"/>
          <w:bCs/>
          <w:szCs w:val="21"/>
        </w:rPr>
        <w:t>河北科技学院五大专业集群一览表</w:t>
      </w:r>
    </w:p>
    <w:tbl>
      <w:tblPr>
        <w:tblStyle w:val="TableGrid"/>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851"/>
        <w:gridCol w:w="1134"/>
        <w:gridCol w:w="1417"/>
        <w:gridCol w:w="1154"/>
        <w:gridCol w:w="1275"/>
        <w:gridCol w:w="3828"/>
      </w:tblGrid>
      <w:tr>
        <w:tblPrEx>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420"/>
          <w:jc w:val="center"/>
        </w:trPr>
        <w:tc>
          <w:tcPr>
            <w:tcW w:w="851"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序号</w:t>
            </w:r>
          </w:p>
        </w:tc>
        <w:tc>
          <w:tcPr>
            <w:tcW w:w="1134"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依托学科</w:t>
            </w:r>
          </w:p>
        </w:tc>
        <w:tc>
          <w:tcPr>
            <w:tcW w:w="1417"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专业群</w:t>
            </w:r>
          </w:p>
        </w:tc>
        <w:tc>
          <w:tcPr>
            <w:tcW w:w="1154"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核心专业</w:t>
            </w:r>
          </w:p>
        </w:tc>
        <w:tc>
          <w:tcPr>
            <w:tcW w:w="1275"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面向行业</w:t>
            </w:r>
          </w:p>
        </w:tc>
        <w:tc>
          <w:tcPr>
            <w:tcW w:w="3828" w:type="dxa"/>
            <w:vAlign w:val="center"/>
          </w:tcPr>
          <w:p>
            <w:pPr>
              <w:widowControl/>
              <w:adjustRightInd w:val="0"/>
              <w:snapToGrid w:val="0"/>
              <w:jc w:val="center"/>
              <w:rPr>
                <w:rFonts w:ascii="黑体" w:eastAsia="黑体" w:hAnsi="黑体" w:cs="宋体"/>
                <w:bCs/>
                <w:szCs w:val="21"/>
              </w:rPr>
            </w:pPr>
            <w:r>
              <w:rPr>
                <w:rFonts w:ascii="黑体" w:eastAsia="黑体" w:hAnsi="黑体" w:cs="宋体" w:hint="eastAsia"/>
                <w:bCs/>
                <w:szCs w:val="21"/>
              </w:rPr>
              <w:t>现有专业</w:t>
            </w:r>
          </w:p>
        </w:tc>
      </w:tr>
      <w:tr>
        <w:tblPrEx>
          <w:tblW w:w="9659" w:type="dxa"/>
          <w:jc w:val="center"/>
          <w:tblLayout w:type="fixed"/>
          <w:tblCellMar>
            <w:top w:w="0" w:type="dxa"/>
            <w:left w:w="108" w:type="dxa"/>
            <w:bottom w:w="0" w:type="dxa"/>
            <w:right w:w="108" w:type="dxa"/>
          </w:tblCellMar>
          <w:tblLook w:val="0000"/>
        </w:tblPrEx>
        <w:trPr>
          <w:trHeight w:val="926"/>
          <w:jc w:val="center"/>
        </w:trPr>
        <w:tc>
          <w:tcPr>
            <w:tcW w:w="851"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1</w:t>
            </w:r>
          </w:p>
        </w:tc>
        <w:tc>
          <w:tcPr>
            <w:tcW w:w="1134"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工学</w:t>
            </w:r>
          </w:p>
        </w:tc>
        <w:tc>
          <w:tcPr>
            <w:tcW w:w="1417"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智能制造类专业集群</w:t>
            </w:r>
          </w:p>
        </w:tc>
        <w:tc>
          <w:tcPr>
            <w:tcW w:w="1154"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机械设计制造及其自动化</w:t>
            </w:r>
          </w:p>
        </w:tc>
        <w:tc>
          <w:tcPr>
            <w:tcW w:w="1275"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现代制造业</w:t>
            </w:r>
          </w:p>
        </w:tc>
        <w:tc>
          <w:tcPr>
            <w:tcW w:w="3828"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机械设计制造及其自动化、机械电子工程、自动化、电气工程及其自动化、计算机科学与技术、物联网工程、建筑电气与智能化</w:t>
            </w:r>
          </w:p>
        </w:tc>
      </w:tr>
      <w:tr>
        <w:tblPrEx>
          <w:tblW w:w="9659" w:type="dxa"/>
          <w:jc w:val="center"/>
          <w:tblLayout w:type="fixed"/>
          <w:tblCellMar>
            <w:top w:w="0" w:type="dxa"/>
            <w:left w:w="108" w:type="dxa"/>
            <w:bottom w:w="0" w:type="dxa"/>
            <w:right w:w="108" w:type="dxa"/>
          </w:tblCellMar>
          <w:tblLook w:val="0000"/>
        </w:tblPrEx>
        <w:trPr>
          <w:trHeight w:val="609"/>
          <w:jc w:val="center"/>
        </w:trPr>
        <w:tc>
          <w:tcPr>
            <w:tcW w:w="851"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2</w:t>
            </w:r>
          </w:p>
        </w:tc>
        <w:tc>
          <w:tcPr>
            <w:tcW w:w="1134"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工学</w:t>
            </w:r>
          </w:p>
        </w:tc>
        <w:tc>
          <w:tcPr>
            <w:tcW w:w="1417"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建筑类</w:t>
            </w:r>
          </w:p>
          <w:p>
            <w:pPr>
              <w:widowControl/>
              <w:adjustRightInd w:val="0"/>
              <w:snapToGrid w:val="0"/>
              <w:jc w:val="center"/>
              <w:rPr>
                <w:rFonts w:ascii="仿宋" w:eastAsia="仿宋" w:hAnsi="仿宋" w:cs="宋体"/>
                <w:bCs/>
                <w:szCs w:val="21"/>
              </w:rPr>
            </w:pPr>
            <w:r>
              <w:rPr>
                <w:rFonts w:ascii="仿宋" w:eastAsia="仿宋" w:hAnsi="仿宋" w:cs="宋体" w:hint="eastAsia"/>
                <w:bCs/>
                <w:szCs w:val="21"/>
              </w:rPr>
              <w:t>专业集群</w:t>
            </w:r>
          </w:p>
        </w:tc>
        <w:tc>
          <w:tcPr>
            <w:tcW w:w="1154"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土木工程</w:t>
            </w:r>
          </w:p>
        </w:tc>
        <w:tc>
          <w:tcPr>
            <w:tcW w:w="1275"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土木建筑业</w:t>
            </w:r>
          </w:p>
        </w:tc>
        <w:tc>
          <w:tcPr>
            <w:tcW w:w="3828"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土木工程、工程管理、风景园林</w:t>
            </w:r>
          </w:p>
        </w:tc>
      </w:tr>
      <w:tr>
        <w:tblPrEx>
          <w:tblW w:w="9659" w:type="dxa"/>
          <w:jc w:val="center"/>
          <w:tblLayout w:type="fixed"/>
          <w:tblCellMar>
            <w:top w:w="0" w:type="dxa"/>
            <w:left w:w="108" w:type="dxa"/>
            <w:bottom w:w="0" w:type="dxa"/>
            <w:right w:w="108" w:type="dxa"/>
          </w:tblCellMar>
          <w:tblLook w:val="0000"/>
        </w:tblPrEx>
        <w:trPr>
          <w:trHeight w:val="547"/>
          <w:jc w:val="center"/>
        </w:trPr>
        <w:tc>
          <w:tcPr>
            <w:tcW w:w="851"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3</w:t>
            </w:r>
          </w:p>
        </w:tc>
        <w:tc>
          <w:tcPr>
            <w:tcW w:w="1134"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工学</w:t>
            </w:r>
          </w:p>
        </w:tc>
        <w:tc>
          <w:tcPr>
            <w:tcW w:w="1417"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汽车工程类专业集群</w:t>
            </w:r>
          </w:p>
        </w:tc>
        <w:tc>
          <w:tcPr>
            <w:tcW w:w="1154"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车辆工程</w:t>
            </w:r>
          </w:p>
        </w:tc>
        <w:tc>
          <w:tcPr>
            <w:tcW w:w="1275"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汽车制造与检修业</w:t>
            </w:r>
          </w:p>
        </w:tc>
        <w:tc>
          <w:tcPr>
            <w:tcW w:w="3828"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车辆工程、汽车服务工程、交通运输、交通工程</w:t>
            </w:r>
          </w:p>
        </w:tc>
      </w:tr>
      <w:tr>
        <w:tblPrEx>
          <w:tblW w:w="9659" w:type="dxa"/>
          <w:jc w:val="center"/>
          <w:tblLayout w:type="fixed"/>
          <w:tblCellMar>
            <w:top w:w="0" w:type="dxa"/>
            <w:left w:w="108" w:type="dxa"/>
            <w:bottom w:w="0" w:type="dxa"/>
            <w:right w:w="108" w:type="dxa"/>
          </w:tblCellMar>
          <w:tblLook w:val="0000"/>
        </w:tblPrEx>
        <w:trPr>
          <w:trHeight w:val="569"/>
          <w:jc w:val="center"/>
        </w:trPr>
        <w:tc>
          <w:tcPr>
            <w:tcW w:w="851"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4</w:t>
            </w:r>
          </w:p>
        </w:tc>
        <w:tc>
          <w:tcPr>
            <w:tcW w:w="1134"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管理学</w:t>
            </w:r>
          </w:p>
        </w:tc>
        <w:tc>
          <w:tcPr>
            <w:tcW w:w="1417"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现代服务类专业集群</w:t>
            </w:r>
          </w:p>
        </w:tc>
        <w:tc>
          <w:tcPr>
            <w:tcW w:w="1154"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会计学</w:t>
            </w:r>
          </w:p>
        </w:tc>
        <w:tc>
          <w:tcPr>
            <w:tcW w:w="1275"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现代服务业</w:t>
            </w:r>
          </w:p>
        </w:tc>
        <w:tc>
          <w:tcPr>
            <w:tcW w:w="3828"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会计学、财务管理、物流管理</w:t>
            </w:r>
          </w:p>
        </w:tc>
      </w:tr>
      <w:tr>
        <w:tblPrEx>
          <w:tblW w:w="9659" w:type="dxa"/>
          <w:jc w:val="center"/>
          <w:tblLayout w:type="fixed"/>
          <w:tblCellMar>
            <w:top w:w="0" w:type="dxa"/>
            <w:left w:w="108" w:type="dxa"/>
            <w:bottom w:w="0" w:type="dxa"/>
            <w:right w:w="108" w:type="dxa"/>
          </w:tblCellMar>
          <w:tblLook w:val="0000"/>
        </w:tblPrEx>
        <w:trPr>
          <w:trHeight w:val="704"/>
          <w:jc w:val="center"/>
        </w:trPr>
        <w:tc>
          <w:tcPr>
            <w:tcW w:w="851"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5</w:t>
            </w:r>
          </w:p>
        </w:tc>
        <w:tc>
          <w:tcPr>
            <w:tcW w:w="1134" w:type="dxa"/>
            <w:vAlign w:val="center"/>
          </w:tcPr>
          <w:p>
            <w:pPr>
              <w:widowControl/>
              <w:adjustRightInd w:val="0"/>
              <w:snapToGrid w:val="0"/>
              <w:spacing w:line="500" w:lineRule="exact"/>
              <w:jc w:val="center"/>
              <w:rPr>
                <w:rFonts w:ascii="仿宋" w:eastAsia="仿宋" w:hAnsi="仿宋" w:cs="宋体"/>
                <w:bCs/>
                <w:szCs w:val="21"/>
              </w:rPr>
            </w:pPr>
            <w:r>
              <w:rPr>
                <w:rFonts w:ascii="仿宋" w:eastAsia="仿宋" w:hAnsi="仿宋" w:cs="宋体" w:hint="eastAsia"/>
                <w:bCs/>
                <w:szCs w:val="21"/>
              </w:rPr>
              <w:t>艺术学</w:t>
            </w:r>
          </w:p>
        </w:tc>
        <w:tc>
          <w:tcPr>
            <w:tcW w:w="1417"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文化艺术类专业集群</w:t>
            </w:r>
          </w:p>
        </w:tc>
        <w:tc>
          <w:tcPr>
            <w:tcW w:w="1154" w:type="dxa"/>
            <w:vAlign w:val="center"/>
          </w:tcPr>
          <w:p>
            <w:pPr>
              <w:widowControl/>
              <w:adjustRightInd w:val="0"/>
              <w:snapToGrid w:val="0"/>
              <w:jc w:val="center"/>
              <w:rPr>
                <w:rFonts w:ascii="仿宋" w:eastAsia="仿宋" w:hAnsi="仿宋" w:cs="宋体"/>
                <w:bCs/>
                <w:szCs w:val="21"/>
              </w:rPr>
            </w:pPr>
            <w:r>
              <w:rPr>
                <w:rFonts w:ascii="仿宋" w:eastAsia="仿宋" w:hAnsi="仿宋" w:cs="宋体" w:hint="eastAsia"/>
                <w:bCs/>
                <w:szCs w:val="21"/>
              </w:rPr>
              <w:t>环境设计</w:t>
            </w:r>
          </w:p>
        </w:tc>
        <w:tc>
          <w:tcPr>
            <w:tcW w:w="1275"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广播、设计创意业</w:t>
            </w:r>
          </w:p>
        </w:tc>
        <w:tc>
          <w:tcPr>
            <w:tcW w:w="3828" w:type="dxa"/>
            <w:vAlign w:val="center"/>
          </w:tcPr>
          <w:p>
            <w:pPr>
              <w:widowControl/>
              <w:adjustRightInd w:val="0"/>
              <w:snapToGrid w:val="0"/>
              <w:jc w:val="left"/>
              <w:rPr>
                <w:rFonts w:ascii="仿宋" w:eastAsia="仿宋" w:hAnsi="仿宋" w:cs="宋体"/>
                <w:bCs/>
                <w:szCs w:val="21"/>
              </w:rPr>
            </w:pPr>
            <w:r>
              <w:rPr>
                <w:rFonts w:ascii="仿宋" w:eastAsia="仿宋" w:hAnsi="仿宋" w:cs="宋体" w:hint="eastAsia"/>
                <w:bCs/>
                <w:szCs w:val="21"/>
              </w:rPr>
              <w:t>环境设计、公共艺术、播音与主持艺术、广播电视编导、工业设计</w:t>
            </w:r>
          </w:p>
        </w:tc>
      </w:tr>
    </w:tbl>
    <w:p>
      <w:pPr>
        <w:rPr>
          <w:rFonts w:ascii="仿宋" w:eastAsia="仿宋" w:hAnsi="仿宋"/>
          <w:sz w:val="28"/>
          <w:szCs w:val="28"/>
        </w:rPr>
        <w:sectPr>
          <w:footerReference w:type="even" r:id="rId24"/>
          <w:footerReference w:type="default" r:id="rId25"/>
          <w:pgSz w:w="11906" w:h="16838"/>
          <w:pgMar w:top="1327" w:right="1406" w:bottom="1327" w:left="1406" w:header="851" w:footer="992" w:gutter="0"/>
          <w:cols w:space="708"/>
          <w:docGrid w:type="linesAndChars" w:linePitch="312" w:charSpace="0"/>
        </w:sectPr>
      </w:pPr>
    </w:p>
    <w:p>
      <w:pPr>
        <w:rPr>
          <w:rFonts w:ascii="仿宋" w:eastAsia="仿宋" w:hAnsi="仿宋"/>
          <w:sz w:val="28"/>
          <w:szCs w:val="28"/>
        </w:rPr>
      </w:pPr>
      <w:bookmarkStart w:id="112" w:name="_Toc22479_WPSOffice_Level1"/>
      <w:r>
        <w:rPr>
          <w:rFonts w:ascii="仿宋" w:eastAsia="仿宋" w:hAnsi="仿宋" w:hint="eastAsia"/>
          <w:sz w:val="28"/>
          <w:szCs w:val="28"/>
        </w:rPr>
        <w:t>附件3：</w:t>
      </w:r>
      <w:bookmarkEnd w:id="112"/>
    </w:p>
    <w:p>
      <w:pPr>
        <w:jc w:val="center"/>
        <w:rPr>
          <w:rFonts w:ascii="黑体" w:eastAsia="黑体" w:hAnsi="黑体"/>
          <w:szCs w:val="21"/>
        </w:rPr>
      </w:pPr>
      <w:r>
        <w:rPr>
          <w:rFonts w:ascii="黑体" w:eastAsia="黑体" w:hAnsi="黑体" w:hint="eastAsia"/>
          <w:szCs w:val="21"/>
        </w:rPr>
        <w:t>河北科技学院2016</w:t>
      </w:r>
      <w:r>
        <w:rPr>
          <w:rFonts w:ascii="黑体" w:eastAsia="黑体" w:hAnsi="黑体" w:hint="eastAsia"/>
          <w:szCs w:val="21"/>
        </w:rPr>
        <w:t>—</w:t>
      </w:r>
      <w:r>
        <w:rPr>
          <w:rFonts w:ascii="黑体" w:eastAsia="黑体" w:hAnsi="黑体" w:hint="eastAsia"/>
          <w:szCs w:val="21"/>
        </w:rPr>
        <w:t>2020年本科专业建设发展规划表</w:t>
      </w:r>
    </w:p>
    <w:tbl>
      <w:tblPr>
        <w:tblStyle w:val="TableNormal"/>
        <w:tblW w:w="9114" w:type="dxa"/>
        <w:jc w:val="center"/>
        <w:tblLayout w:type="fixed"/>
        <w:tblCellMar>
          <w:top w:w="0" w:type="dxa"/>
          <w:left w:w="108" w:type="dxa"/>
          <w:bottom w:w="0" w:type="dxa"/>
          <w:right w:w="108" w:type="dxa"/>
        </w:tblCellMar>
        <w:tblLook w:val="0000"/>
      </w:tblPr>
      <w:tblGrid>
        <w:gridCol w:w="567"/>
        <w:gridCol w:w="992"/>
        <w:gridCol w:w="1822"/>
        <w:gridCol w:w="1134"/>
        <w:gridCol w:w="1843"/>
        <w:gridCol w:w="850"/>
        <w:gridCol w:w="1906"/>
      </w:tblGrid>
      <w:tr>
        <w:tblPrEx>
          <w:tblW w:w="9114" w:type="dxa"/>
          <w:jc w:val="center"/>
          <w:tblLayout w:type="fixed"/>
          <w:tblCellMar>
            <w:top w:w="0" w:type="dxa"/>
            <w:left w:w="108" w:type="dxa"/>
            <w:bottom w:w="0" w:type="dxa"/>
            <w:right w:w="108" w:type="dxa"/>
          </w:tblCellMar>
          <w:tblLook w:val="0000"/>
        </w:tblPrEx>
        <w:trPr>
          <w:trHeight w:val="300"/>
          <w:jc w:val="center"/>
        </w:trPr>
        <w:tc>
          <w:tcPr>
            <w:tcW w:w="567" w:type="dxa"/>
            <w:tcBorders>
              <w:top w:val="single" w:sz="4" w:space="0" w:color="auto"/>
              <w:left w:val="single" w:sz="4" w:space="0" w:color="auto"/>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序号</w:t>
            </w:r>
          </w:p>
        </w:tc>
        <w:tc>
          <w:tcPr>
            <w:tcW w:w="992"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专业</w:t>
            </w:r>
          </w:p>
          <w:p>
            <w:pPr>
              <w:widowControl/>
              <w:jc w:val="center"/>
              <w:rPr>
                <w:rFonts w:ascii="黑体" w:eastAsia="黑体" w:hAnsi="黑体" w:cs="宋体"/>
                <w:kern w:val="0"/>
                <w:szCs w:val="21"/>
              </w:rPr>
            </w:pPr>
            <w:r>
              <w:rPr>
                <w:rFonts w:ascii="黑体" w:eastAsia="黑体" w:hAnsi="黑体" w:cs="宋体" w:hint="eastAsia"/>
                <w:kern w:val="0"/>
                <w:szCs w:val="21"/>
              </w:rPr>
              <w:t>代码</w:t>
            </w:r>
          </w:p>
        </w:tc>
        <w:tc>
          <w:tcPr>
            <w:tcW w:w="1822"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专业名称</w:t>
            </w:r>
          </w:p>
        </w:tc>
        <w:tc>
          <w:tcPr>
            <w:tcW w:w="1134"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学科门类</w:t>
            </w:r>
          </w:p>
        </w:tc>
        <w:tc>
          <w:tcPr>
            <w:tcW w:w="1843"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二级学科类别</w:t>
            </w:r>
          </w:p>
        </w:tc>
        <w:tc>
          <w:tcPr>
            <w:tcW w:w="850"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建设</w:t>
            </w:r>
          </w:p>
          <w:p>
            <w:pPr>
              <w:widowControl/>
              <w:jc w:val="center"/>
              <w:rPr>
                <w:rFonts w:ascii="黑体" w:eastAsia="黑体" w:hAnsi="黑体" w:cs="宋体"/>
                <w:kern w:val="0"/>
                <w:szCs w:val="21"/>
              </w:rPr>
            </w:pPr>
            <w:r>
              <w:rPr>
                <w:rFonts w:ascii="黑体" w:eastAsia="黑体" w:hAnsi="黑体" w:cs="宋体" w:hint="eastAsia"/>
                <w:kern w:val="0"/>
                <w:szCs w:val="21"/>
              </w:rPr>
              <w:t>年份</w:t>
            </w:r>
          </w:p>
        </w:tc>
        <w:tc>
          <w:tcPr>
            <w:tcW w:w="1906" w:type="dxa"/>
            <w:tcBorders>
              <w:top w:val="single" w:sz="4" w:space="0" w:color="auto"/>
              <w:left w:val="nil"/>
              <w:bottom w:val="single" w:sz="4" w:space="0" w:color="auto"/>
              <w:right w:val="single" w:sz="4" w:space="0" w:color="auto"/>
            </w:tcBorders>
            <w:vAlign w:val="center"/>
          </w:tcPr>
          <w:p>
            <w:pPr>
              <w:widowControl/>
              <w:jc w:val="center"/>
              <w:rPr>
                <w:rFonts w:ascii="黑体" w:eastAsia="黑体" w:hAnsi="黑体" w:cs="宋体"/>
                <w:kern w:val="0"/>
                <w:szCs w:val="21"/>
              </w:rPr>
            </w:pPr>
            <w:r>
              <w:rPr>
                <w:rFonts w:ascii="黑体" w:eastAsia="黑体" w:hAnsi="黑体" w:cs="宋体" w:hint="eastAsia"/>
                <w:kern w:val="0"/>
                <w:szCs w:val="21"/>
              </w:rPr>
              <w:t>所属院部</w:t>
            </w:r>
          </w:p>
        </w:tc>
      </w:tr>
      <w:tr>
        <w:tblPrEx>
          <w:tblW w:w="9114" w:type="dxa"/>
          <w:jc w:val="center"/>
          <w:tblLayout w:type="fixed"/>
          <w:tblCellMar>
            <w:top w:w="0" w:type="dxa"/>
            <w:left w:w="108" w:type="dxa"/>
            <w:bottom w:w="0" w:type="dxa"/>
            <w:right w:w="108" w:type="dxa"/>
          </w:tblCellMar>
          <w:tblLook w:val="0000"/>
        </w:tblPrEx>
        <w:trPr>
          <w:trHeight w:val="330"/>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080204</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机械电子工程</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机械类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2016年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智能制造工程学院</w:t>
            </w:r>
          </w:p>
        </w:tc>
      </w:tr>
      <w:tr>
        <w:tblPrEx>
          <w:tblW w:w="9114" w:type="dxa"/>
          <w:jc w:val="center"/>
          <w:tblLayout w:type="fixed"/>
          <w:tblCellMar>
            <w:top w:w="0" w:type="dxa"/>
            <w:left w:w="108" w:type="dxa"/>
            <w:bottom w:w="0" w:type="dxa"/>
            <w:right w:w="108" w:type="dxa"/>
          </w:tblCellMar>
          <w:tblLook w:val="0000"/>
        </w:tblPrEx>
        <w:trPr>
          <w:trHeight w:val="330"/>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081802</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交通工程</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交通运输类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2016年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汽车工程学院</w:t>
            </w:r>
          </w:p>
        </w:tc>
      </w:tr>
      <w:tr>
        <w:tblPrEx>
          <w:tblW w:w="9114" w:type="dxa"/>
          <w:jc w:val="center"/>
          <w:tblLayout w:type="fixed"/>
          <w:tblCellMar>
            <w:top w:w="0" w:type="dxa"/>
            <w:left w:w="108" w:type="dxa"/>
            <w:bottom w:w="0" w:type="dxa"/>
            <w:right w:w="108" w:type="dxa"/>
          </w:tblCellMar>
          <w:tblLook w:val="0000"/>
        </w:tblPrEx>
        <w:trPr>
          <w:trHeight w:val="330"/>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3</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130309</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播音与主持艺术</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戏剧与影视学类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2016年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4</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130305</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广播电视编导</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戏剧与影视学类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2016年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5</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130204</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舞蹈表演</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音乐与舞蹈学类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2017年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6</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120105</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工程造价</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管理学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管理科学与工程类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2017年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建筑工程学院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7</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130502</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视觉传达设计</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设计学类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2017年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8</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080902</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软件工程</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计算机类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2017年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智能制造工程学院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9</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080701</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电子信息工程</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电子信息类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2018年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智能制造工程学院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10</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080212T</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汽车维修工程教育</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工学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机械类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2018年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汽车工程学院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11</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020101</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经济学</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经济学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经济学类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2018年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经济管理学院</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12</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101101</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护理学</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护理学类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2019年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医学护理系</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13</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101102T</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助产学</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护理学类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2019年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医学护理系</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14</w:t>
            </w:r>
          </w:p>
        </w:tc>
        <w:tc>
          <w:tcPr>
            <w:tcW w:w="99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101005</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康复治疗学</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医学技术类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2020年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医学护理系</w:t>
            </w:r>
          </w:p>
        </w:tc>
      </w:tr>
      <w:tr>
        <w:tblPrEx>
          <w:tblW w:w="9114" w:type="dxa"/>
          <w:jc w:val="center"/>
          <w:tblLayout w:type="fixed"/>
          <w:tblCellMar>
            <w:top w:w="0" w:type="dxa"/>
            <w:left w:w="108" w:type="dxa"/>
            <w:bottom w:w="0" w:type="dxa"/>
            <w:right w:w="108" w:type="dxa"/>
          </w:tblCellMar>
          <w:tblLook w:val="0000"/>
        </w:tblPrEx>
        <w:trPr>
          <w:trHeight w:val="285"/>
          <w:jc w:val="center"/>
        </w:trPr>
        <w:tc>
          <w:tcPr>
            <w:tcW w:w="567" w:type="dxa"/>
            <w:tcBorders>
              <w:top w:val="nil"/>
              <w:left w:val="single" w:sz="4" w:space="0" w:color="auto"/>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15</w:t>
            </w:r>
          </w:p>
        </w:tc>
        <w:tc>
          <w:tcPr>
            <w:tcW w:w="992" w:type="dxa"/>
            <w:tcBorders>
              <w:top w:val="nil"/>
              <w:left w:val="nil"/>
              <w:bottom w:val="single" w:sz="4" w:space="0" w:color="auto"/>
              <w:right w:val="single" w:sz="4" w:space="0" w:color="auto"/>
            </w:tcBorders>
            <w:vAlign w:val="center"/>
          </w:tcPr>
          <w:p>
            <w:pPr>
              <w:widowControl/>
              <w:rPr>
                <w:rFonts w:ascii="仿宋" w:eastAsia="仿宋" w:hAnsi="仿宋" w:cs="宋体"/>
                <w:kern w:val="0"/>
                <w:sz w:val="20"/>
                <w:szCs w:val="20"/>
              </w:rPr>
            </w:pPr>
            <w:r>
              <w:rPr>
                <w:rFonts w:ascii="仿宋" w:eastAsia="仿宋" w:hAnsi="仿宋" w:cs="宋体" w:hint="eastAsia"/>
                <w:kern w:val="0"/>
                <w:sz w:val="20"/>
                <w:szCs w:val="20"/>
              </w:rPr>
              <w:t>130201</w:t>
            </w:r>
          </w:p>
        </w:tc>
        <w:tc>
          <w:tcPr>
            <w:tcW w:w="1822"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音乐表演</w:t>
            </w:r>
          </w:p>
        </w:tc>
        <w:tc>
          <w:tcPr>
            <w:tcW w:w="1134"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w:t>
            </w:r>
          </w:p>
        </w:tc>
        <w:tc>
          <w:tcPr>
            <w:tcW w:w="1843"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音乐与舞蹈学类</w:t>
            </w:r>
          </w:p>
        </w:tc>
        <w:tc>
          <w:tcPr>
            <w:tcW w:w="850"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2020年</w:t>
            </w:r>
          </w:p>
        </w:tc>
        <w:tc>
          <w:tcPr>
            <w:tcW w:w="1906" w:type="dxa"/>
            <w:tcBorders>
              <w:top w:val="nil"/>
              <w:left w:val="nil"/>
              <w:bottom w:val="single" w:sz="4" w:space="0" w:color="auto"/>
              <w:right w:val="single" w:sz="4" w:space="0" w:color="auto"/>
            </w:tcBorders>
            <w:vAlign w:val="center"/>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艺术学院</w:t>
            </w:r>
          </w:p>
        </w:tc>
      </w:tr>
    </w:tbl>
    <w:p>
      <w:pPr>
        <w:widowControl/>
        <w:spacing w:line="360" w:lineRule="auto"/>
        <w:textAlignment w:val="baseline"/>
        <w:rPr>
          <w:rFonts w:ascii="仿宋" w:eastAsia="仿宋" w:hAnsi="仿宋" w:cs="宋体"/>
          <w:kern w:val="0"/>
          <w:sz w:val="28"/>
          <w:szCs w:val="28"/>
        </w:rPr>
      </w:pPr>
    </w:p>
    <w:p>
      <w:pPr>
        <w:widowControl/>
        <w:spacing w:line="360" w:lineRule="auto"/>
        <w:textAlignment w:val="baseline"/>
        <w:rPr>
          <w:rFonts w:ascii="仿宋" w:eastAsia="仿宋" w:hAnsi="仿宋" w:cs="宋体"/>
          <w:kern w:val="0"/>
          <w:sz w:val="28"/>
          <w:szCs w:val="28"/>
        </w:rPr>
      </w:pPr>
      <w:bookmarkStart w:id="113" w:name="_Toc17269_WPSOffice_Level2"/>
      <w:r>
        <w:rPr>
          <w:rFonts w:ascii="仿宋" w:eastAsia="仿宋" w:hAnsi="仿宋" w:cs="宋体" w:hint="eastAsia"/>
          <w:kern w:val="0"/>
          <w:sz w:val="28"/>
          <w:szCs w:val="28"/>
        </w:rPr>
        <w:t>附件4:</w:t>
      </w:r>
      <w:bookmarkEnd w:id="113"/>
    </w:p>
    <w:p>
      <w:pPr>
        <w:widowControl/>
        <w:spacing w:after="312" w:afterLines="100" w:line="560" w:lineRule="exact"/>
        <w:ind w:firstLine="440" w:firstLineChars="200"/>
        <w:jc w:val="center"/>
        <w:textAlignment w:val="baseline"/>
        <w:rPr>
          <w:rFonts w:ascii="黑体" w:eastAsia="黑体" w:hAnsi="黑体"/>
          <w:szCs w:val="21"/>
        </w:rPr>
      </w:pPr>
      <w:r>
        <w:rPr>
          <w:rFonts w:ascii="黑体" w:eastAsia="黑体" w:hAnsi="黑体" w:hint="eastAsia"/>
          <w:szCs w:val="21"/>
        </w:rPr>
        <w:t>河北科技学院2016-2020年专业硕士点培育发展规划表</w:t>
      </w:r>
    </w:p>
    <w:tbl>
      <w:tblPr>
        <w:tblStyle w:val="TableNormal"/>
        <w:tblW w:w="9000" w:type="dxa"/>
        <w:tblInd w:w="93" w:type="dxa"/>
        <w:tblLayout w:type="fixed"/>
        <w:tblCellMar>
          <w:top w:w="0" w:type="dxa"/>
          <w:left w:w="108" w:type="dxa"/>
          <w:bottom w:w="0" w:type="dxa"/>
          <w:right w:w="108" w:type="dxa"/>
        </w:tblCellMar>
        <w:tblLook w:val="0000"/>
      </w:tblPr>
      <w:tblGrid>
        <w:gridCol w:w="1080"/>
        <w:gridCol w:w="2054"/>
        <w:gridCol w:w="3086"/>
        <w:gridCol w:w="2780"/>
      </w:tblGrid>
      <w:tr>
        <w:tblPrEx>
          <w:tblW w:w="9000" w:type="dxa"/>
          <w:tblInd w:w="93" w:type="dxa"/>
          <w:tblLayout w:type="fixed"/>
          <w:tblCellMar>
            <w:top w:w="0" w:type="dxa"/>
            <w:left w:w="108" w:type="dxa"/>
            <w:bottom w:w="0" w:type="dxa"/>
            <w:right w:w="108" w:type="dxa"/>
          </w:tblCellMar>
          <w:tblLook w:val="0000"/>
        </w:tblPrEx>
        <w:trPr>
          <w:trHeight w:val="289"/>
        </w:trPr>
        <w:tc>
          <w:tcPr>
            <w:tcW w:w="1080" w:type="dxa"/>
            <w:tcBorders>
              <w:top w:val="single" w:sz="4" w:space="0" w:color="auto"/>
              <w:left w:val="single" w:sz="4" w:space="0" w:color="auto"/>
              <w:bottom w:val="single" w:sz="4" w:space="0" w:color="auto"/>
              <w:right w:val="single" w:sz="4" w:space="0" w:color="auto"/>
            </w:tcBorders>
            <w:vAlign w:val="bottom"/>
          </w:tcPr>
          <w:p>
            <w:pPr>
              <w:widowControl/>
              <w:jc w:val="center"/>
              <w:rPr>
                <w:rFonts w:ascii="黑体" w:eastAsia="黑体" w:hAnsi="黑体" w:cs="宋体"/>
                <w:kern w:val="0"/>
                <w:sz w:val="20"/>
                <w:szCs w:val="20"/>
              </w:rPr>
            </w:pPr>
            <w:r>
              <w:rPr>
                <w:rFonts w:ascii="黑体" w:eastAsia="黑体" w:hAnsi="黑体" w:cs="宋体" w:hint="eastAsia"/>
                <w:kern w:val="0"/>
                <w:sz w:val="20"/>
                <w:szCs w:val="20"/>
              </w:rPr>
              <w:t>序号</w:t>
            </w:r>
          </w:p>
        </w:tc>
        <w:tc>
          <w:tcPr>
            <w:tcW w:w="2054" w:type="dxa"/>
            <w:tcBorders>
              <w:top w:val="single" w:sz="4" w:space="0" w:color="auto"/>
              <w:left w:val="nil"/>
              <w:bottom w:val="single" w:sz="4" w:space="0" w:color="auto"/>
              <w:right w:val="single" w:sz="4" w:space="0" w:color="auto"/>
            </w:tcBorders>
            <w:vAlign w:val="bottom"/>
          </w:tcPr>
          <w:p>
            <w:pPr>
              <w:widowControl/>
              <w:jc w:val="center"/>
              <w:rPr>
                <w:rFonts w:ascii="黑体" w:eastAsia="黑体" w:hAnsi="黑体" w:cs="宋体"/>
                <w:kern w:val="0"/>
                <w:sz w:val="20"/>
                <w:szCs w:val="20"/>
              </w:rPr>
            </w:pPr>
            <w:r>
              <w:rPr>
                <w:rFonts w:ascii="黑体" w:eastAsia="黑体" w:hAnsi="黑体" w:cs="宋体" w:hint="eastAsia"/>
                <w:kern w:val="0"/>
                <w:sz w:val="20"/>
                <w:szCs w:val="20"/>
              </w:rPr>
              <w:t>试点名称</w:t>
            </w:r>
          </w:p>
        </w:tc>
        <w:tc>
          <w:tcPr>
            <w:tcW w:w="3086" w:type="dxa"/>
            <w:tcBorders>
              <w:top w:val="single" w:sz="4" w:space="0" w:color="auto"/>
              <w:left w:val="nil"/>
              <w:bottom w:val="single" w:sz="4" w:space="0" w:color="auto"/>
              <w:right w:val="single" w:sz="4" w:space="0" w:color="auto"/>
            </w:tcBorders>
            <w:vAlign w:val="bottom"/>
          </w:tcPr>
          <w:p>
            <w:pPr>
              <w:widowControl/>
              <w:jc w:val="center"/>
              <w:rPr>
                <w:rFonts w:ascii="黑体" w:eastAsia="黑体" w:hAnsi="黑体" w:cs="宋体"/>
                <w:kern w:val="0"/>
                <w:sz w:val="20"/>
                <w:szCs w:val="20"/>
              </w:rPr>
            </w:pPr>
            <w:r>
              <w:rPr>
                <w:rFonts w:ascii="黑体" w:eastAsia="黑体" w:hAnsi="黑体" w:cs="宋体" w:hint="eastAsia"/>
                <w:kern w:val="0"/>
                <w:sz w:val="20"/>
                <w:szCs w:val="20"/>
              </w:rPr>
              <w:t>遴选年份</w:t>
            </w:r>
          </w:p>
        </w:tc>
        <w:tc>
          <w:tcPr>
            <w:tcW w:w="2780" w:type="dxa"/>
            <w:tcBorders>
              <w:top w:val="single" w:sz="4" w:space="0" w:color="auto"/>
              <w:left w:val="nil"/>
              <w:bottom w:val="single" w:sz="4" w:space="0" w:color="auto"/>
              <w:right w:val="single" w:sz="4" w:space="0" w:color="auto"/>
            </w:tcBorders>
            <w:vAlign w:val="bottom"/>
          </w:tcPr>
          <w:p>
            <w:pPr>
              <w:widowControl/>
              <w:jc w:val="center"/>
              <w:rPr>
                <w:rFonts w:ascii="黑体" w:eastAsia="黑体" w:hAnsi="黑体" w:cs="宋体"/>
                <w:kern w:val="0"/>
                <w:sz w:val="20"/>
                <w:szCs w:val="20"/>
              </w:rPr>
            </w:pPr>
            <w:r>
              <w:rPr>
                <w:rFonts w:ascii="黑体" w:eastAsia="黑体" w:hAnsi="黑体" w:cs="宋体" w:hint="eastAsia"/>
                <w:kern w:val="0"/>
                <w:sz w:val="20"/>
                <w:szCs w:val="20"/>
              </w:rPr>
              <w:t>所属院部</w:t>
            </w:r>
          </w:p>
        </w:tc>
      </w:tr>
      <w:tr>
        <w:tblPrEx>
          <w:tblW w:w="9000" w:type="dxa"/>
          <w:tblInd w:w="93" w:type="dxa"/>
          <w:tblLayout w:type="fixed"/>
          <w:tblCellMar>
            <w:top w:w="0" w:type="dxa"/>
            <w:left w:w="108" w:type="dxa"/>
            <w:bottom w:w="0" w:type="dxa"/>
            <w:right w:w="108" w:type="dxa"/>
          </w:tblCellMar>
          <w:tblLook w:val="0000"/>
        </w:tblPrEx>
        <w:trPr>
          <w:trHeight w:hRule="exact" w:val="284"/>
        </w:trPr>
        <w:tc>
          <w:tcPr>
            <w:tcW w:w="1080" w:type="dxa"/>
            <w:tcBorders>
              <w:top w:val="nil"/>
              <w:left w:val="single" w:sz="4" w:space="0" w:color="auto"/>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1</w:t>
            </w:r>
          </w:p>
        </w:tc>
        <w:tc>
          <w:tcPr>
            <w:tcW w:w="2054"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车辆工程</w:t>
            </w:r>
          </w:p>
        </w:tc>
        <w:tc>
          <w:tcPr>
            <w:tcW w:w="3086"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2019年</w:t>
            </w:r>
          </w:p>
        </w:tc>
        <w:tc>
          <w:tcPr>
            <w:tcW w:w="2780"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汽车工程学院</w:t>
            </w:r>
          </w:p>
        </w:tc>
      </w:tr>
      <w:tr>
        <w:tblPrEx>
          <w:tblW w:w="9000" w:type="dxa"/>
          <w:tblInd w:w="93" w:type="dxa"/>
          <w:tblLayout w:type="fixed"/>
          <w:tblCellMar>
            <w:top w:w="0" w:type="dxa"/>
            <w:left w:w="108" w:type="dxa"/>
            <w:bottom w:w="0" w:type="dxa"/>
            <w:right w:w="108" w:type="dxa"/>
          </w:tblCellMar>
          <w:tblLook w:val="0000"/>
        </w:tblPrEx>
        <w:trPr>
          <w:trHeight w:hRule="exact" w:val="284"/>
        </w:trPr>
        <w:tc>
          <w:tcPr>
            <w:tcW w:w="1080" w:type="dxa"/>
            <w:tcBorders>
              <w:top w:val="nil"/>
              <w:left w:val="single" w:sz="4" w:space="0" w:color="auto"/>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w:t>
            </w:r>
          </w:p>
        </w:tc>
        <w:tc>
          <w:tcPr>
            <w:tcW w:w="2054"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机械制造及其自动化</w:t>
            </w:r>
          </w:p>
        </w:tc>
        <w:tc>
          <w:tcPr>
            <w:tcW w:w="3086"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2019年</w:t>
            </w:r>
          </w:p>
        </w:tc>
        <w:tc>
          <w:tcPr>
            <w:tcW w:w="2780"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智能制造工程学院</w:t>
            </w:r>
          </w:p>
        </w:tc>
      </w:tr>
      <w:tr>
        <w:tblPrEx>
          <w:tblW w:w="9000" w:type="dxa"/>
          <w:tblInd w:w="93" w:type="dxa"/>
          <w:tblLayout w:type="fixed"/>
          <w:tblCellMar>
            <w:top w:w="0" w:type="dxa"/>
            <w:left w:w="108" w:type="dxa"/>
            <w:bottom w:w="0" w:type="dxa"/>
            <w:right w:w="108" w:type="dxa"/>
          </w:tblCellMar>
          <w:tblLook w:val="0000"/>
        </w:tblPrEx>
        <w:trPr>
          <w:trHeight w:hRule="exact" w:val="284"/>
        </w:trPr>
        <w:tc>
          <w:tcPr>
            <w:tcW w:w="1080" w:type="dxa"/>
            <w:tcBorders>
              <w:top w:val="nil"/>
              <w:left w:val="single" w:sz="4" w:space="0" w:color="auto"/>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3</w:t>
            </w:r>
          </w:p>
        </w:tc>
        <w:tc>
          <w:tcPr>
            <w:tcW w:w="2054"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会计学</w:t>
            </w:r>
          </w:p>
        </w:tc>
        <w:tc>
          <w:tcPr>
            <w:tcW w:w="3086"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2019年</w:t>
            </w:r>
          </w:p>
        </w:tc>
        <w:tc>
          <w:tcPr>
            <w:tcW w:w="2780" w:type="dxa"/>
            <w:tcBorders>
              <w:top w:val="nil"/>
              <w:left w:val="nil"/>
              <w:bottom w:val="single" w:sz="4" w:space="0" w:color="auto"/>
              <w:right w:val="single" w:sz="4" w:space="0" w:color="auto"/>
            </w:tcBorders>
            <w:vAlign w:val="bottom"/>
          </w:tcPr>
          <w:p>
            <w:pPr>
              <w:widowControl/>
              <w:jc w:val="center"/>
              <w:rPr>
                <w:rFonts w:ascii="仿宋" w:eastAsia="仿宋" w:hAnsi="仿宋" w:cs="宋体"/>
                <w:kern w:val="0"/>
                <w:sz w:val="20"/>
                <w:szCs w:val="20"/>
              </w:rPr>
            </w:pPr>
            <w:r>
              <w:rPr>
                <w:rFonts w:ascii="仿宋" w:eastAsia="仿宋" w:hAnsi="仿宋" w:cs="宋体" w:hint="eastAsia"/>
                <w:kern w:val="0"/>
                <w:sz w:val="20"/>
                <w:szCs w:val="20"/>
              </w:rPr>
              <w:t>经济管理学院</w:t>
            </w:r>
          </w:p>
        </w:tc>
      </w:tr>
    </w:tbl>
    <w:p>
      <w:pPr>
        <w:rPr>
          <w:rFonts w:ascii="仿宋" w:eastAsia="仿宋" w:hAnsi="仿宋"/>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sectPr>
          <w:headerReference w:type="default" r:id="rId26"/>
          <w:footerReference w:type="default" r:id="rId27"/>
          <w:type w:val="continuous"/>
          <w:pgSz w:w="11906" w:h="16838"/>
          <w:pgMar w:top="1418" w:right="1418" w:bottom="1418" w:left="1418" w:header="851" w:footer="992" w:gutter="0"/>
          <w:cols w:space="708"/>
          <w:docGrid w:type="lines" w:linePitch="312" w:charSpace="0"/>
        </w:sectPr>
      </w:pPr>
    </w:p>
    <w:p>
      <w:pPr>
        <w:widowControl/>
        <w:spacing w:line="480" w:lineRule="exact"/>
        <w:rPr>
          <w:rFonts w:ascii="宋体" w:hAnsi="宋体" w:cs="宋体"/>
          <w:b/>
          <w:bCs/>
          <w:kern w:val="0"/>
          <w:sz w:val="36"/>
          <w:szCs w:val="36"/>
        </w:rPr>
      </w:pPr>
    </w:p>
    <w:p>
      <w:pPr>
        <w:pStyle w:val="ListParagraph"/>
        <w:spacing w:line="360" w:lineRule="auto"/>
        <w:ind w:left="440" w:firstLine="260" w:leftChars="200" w:firstLineChars="50"/>
        <w:rPr>
          <w:rFonts w:ascii="方正黄草简体" w:eastAsia="方正黄草简体" w:hAnsi="Times New Roman" w:cs="Times New Roman"/>
          <w:sz w:val="32"/>
          <w:szCs w:val="32"/>
        </w:rPr>
      </w:pPr>
      <w:r>
        <w:rPr>
          <w:rFonts w:hAnsi="华文楷体"/>
          <w:sz w:val="52"/>
          <w:szCs w:val="52"/>
        </w:rPr>
        <w:pict>
          <v:shape id="图片 5" o:spid="_x0000_s1029" type="#_x0000_t75" alt="H:\合格评估\河北科技学院合格评估院长报告、领导致辞\校徽1.png" style="width:78.65pt;height:68.2pt;margin-top:20.55pt;margin-left:21.25pt;mso-wrap-distance-left:5.65pt;mso-wrap-distance-right:2.85pt;position:absolute;z-index:251662336" o:preferrelative="t" filled="f" stroked="f">
            <v:fill o:detectmouseclick="t"/>
            <v:imagedata r:id="rId10" o:title="H:\合格评估\河北科技学院合格评估院长报告、领导致辞\校徽1.png"/>
            <v:path o:extrusionok="f"/>
            <o:lock v:ext="edit" aspectratio="t"/>
            <w10:wrap type="square"/>
          </v:shape>
        </w:pict>
      </w:r>
    </w:p>
    <w:p>
      <w:pPr>
        <w:spacing w:line="360" w:lineRule="auto"/>
        <w:rPr>
          <w:rFonts w:ascii="方正黄草简体" w:eastAsia="方正黄草简体" w:hAnsi="Times New Roman" w:cs="Times New Roman"/>
          <w:sz w:val="52"/>
          <w:szCs w:val="52"/>
        </w:rPr>
      </w:pPr>
      <w:r>
        <w:rPr>
          <w:rFonts w:ascii="方正黄草简体" w:eastAsia="方正黄草简体" w:hAnsi="Times New Roman" w:cs="Times New Roman" w:hint="eastAsia"/>
          <w:sz w:val="52"/>
          <w:szCs w:val="52"/>
        </w:rPr>
        <w:t>河北科技学院</w:t>
      </w:r>
    </w:p>
    <w:p>
      <w:pPr>
        <w:spacing w:line="360" w:lineRule="auto"/>
        <w:ind w:left="420"/>
        <w:rPr>
          <w:rFonts w:ascii="宋体" w:eastAsia="宋体" w:hAnsi="宋体" w:cs="Times New Roman"/>
          <w:b/>
          <w:sz w:val="52"/>
          <w:szCs w:val="52"/>
        </w:rPr>
      </w:pPr>
    </w:p>
    <w:p>
      <w:pPr>
        <w:spacing w:line="360" w:lineRule="auto"/>
        <w:ind w:left="420"/>
        <w:rPr>
          <w:rFonts w:ascii="宋体" w:eastAsia="宋体" w:hAnsi="宋体" w:cs="Times New Roman"/>
          <w:b/>
          <w:sz w:val="52"/>
          <w:szCs w:val="52"/>
        </w:rPr>
      </w:pPr>
    </w:p>
    <w:p>
      <w:pPr>
        <w:spacing w:line="360" w:lineRule="auto"/>
        <w:jc w:val="center"/>
        <w:rPr>
          <w:rFonts w:ascii="微软雅黑" w:eastAsia="微软雅黑" w:hAnsi="微软雅黑" w:cs="Times New Roman"/>
          <w:b/>
          <w:sz w:val="72"/>
          <w:szCs w:val="72"/>
        </w:rPr>
      </w:pPr>
      <w:r>
        <w:rPr>
          <w:rFonts w:ascii="微软雅黑" w:eastAsia="微软雅黑" w:hAnsi="微软雅黑" w:cs="Times New Roman" w:hint="eastAsia"/>
          <w:b/>
          <w:sz w:val="72"/>
          <w:szCs w:val="72"/>
        </w:rPr>
        <w:t>“</w:t>
      </w:r>
      <w:r>
        <w:rPr>
          <w:rFonts w:ascii="微软雅黑" w:eastAsia="微软雅黑" w:hAnsi="微软雅黑" w:cs="Times New Roman" w:hint="eastAsia"/>
          <w:b/>
          <w:sz w:val="72"/>
          <w:szCs w:val="72"/>
        </w:rPr>
        <w:t>十三五</w:t>
      </w:r>
      <w:r>
        <w:rPr>
          <w:rFonts w:ascii="微软雅黑" w:eastAsia="微软雅黑" w:hAnsi="微软雅黑" w:cs="Times New Roman" w:hint="eastAsia"/>
          <w:b/>
          <w:sz w:val="72"/>
          <w:szCs w:val="72"/>
        </w:rPr>
        <w:t>”</w:t>
      </w:r>
      <w:r>
        <w:rPr>
          <w:rFonts w:ascii="微软雅黑" w:eastAsia="微软雅黑" w:hAnsi="微软雅黑" w:cs="Times New Roman" w:hint="eastAsia"/>
          <w:b/>
          <w:sz w:val="72"/>
          <w:szCs w:val="72"/>
        </w:rPr>
        <w:t>师资队伍建设规划</w:t>
      </w:r>
    </w:p>
    <w:p>
      <w:pPr>
        <w:ind w:left="2"/>
        <w:jc w:val="center"/>
        <w:rPr>
          <w:rFonts w:ascii="Times New Roman" w:eastAsia="宋体" w:hAnsi="Times New Roman" w:cs="Times New Roman"/>
          <w:sz w:val="52"/>
          <w:szCs w:val="52"/>
        </w:rPr>
      </w:pPr>
      <w:r>
        <w:rPr>
          <w:rFonts w:ascii="Times New Roman" w:eastAsia="宋体" w:hAnsi="宋体" w:cs="Times New Roman"/>
          <w:sz w:val="52"/>
          <w:szCs w:val="52"/>
        </w:rPr>
        <w:t>（</w:t>
      </w:r>
      <w:r>
        <w:rPr>
          <w:rFonts w:ascii="Times New Roman" w:eastAsia="宋体" w:hAnsi="Times New Roman" w:cs="Times New Roman"/>
          <w:sz w:val="52"/>
          <w:szCs w:val="52"/>
        </w:rPr>
        <w:t>2016-2020</w:t>
      </w:r>
      <w:r>
        <w:rPr>
          <w:rFonts w:ascii="Times New Roman" w:eastAsia="宋体" w:hAnsi="宋体" w:cs="Times New Roman" w:hint="eastAsia"/>
          <w:sz w:val="52"/>
          <w:szCs w:val="52"/>
        </w:rPr>
        <w:t>）</w:t>
      </w: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480" w:lineRule="exact"/>
        <w:jc w:val="center"/>
        <w:rPr>
          <w:rFonts w:ascii="仿宋_GB2312" w:eastAsia="仿宋_GB2312" w:hAnsi="Times New Roman" w:cs="仿宋_GB2312"/>
          <w:b/>
          <w:sz w:val="36"/>
          <w:szCs w:val="36"/>
        </w:rPr>
        <w:sectPr>
          <w:footerReference w:type="default" r:id="rId28"/>
          <w:pgSz w:w="11906" w:h="16838"/>
          <w:pgMar w:top="1418" w:right="1418" w:bottom="1418" w:left="1418" w:header="851" w:footer="992" w:gutter="0"/>
          <w:cols w:space="708"/>
          <w:docGrid w:type="lines" w:linePitch="312" w:charSpace="0"/>
        </w:sectPr>
      </w:pPr>
      <w:r>
        <w:rPr>
          <w:rFonts w:ascii="仿宋_GB2312" w:eastAsia="仿宋_GB2312" w:hAnsi="Times New Roman" w:cs="仿宋_GB2312" w:hint="eastAsia"/>
          <w:b/>
          <w:sz w:val="36"/>
          <w:szCs w:val="36"/>
        </w:rPr>
        <w:t>师资队伍建设规划组</w:t>
      </w:r>
    </w:p>
    <w:p>
      <w:pPr>
        <w:spacing w:line="480" w:lineRule="exact"/>
        <w:rPr>
          <w:rFonts w:ascii="仿宋_GB2312" w:eastAsia="仿宋_GB2312" w:hAnsi="Times New Roman" w:cs="仿宋_GB2312"/>
          <w:b/>
          <w:sz w:val="36"/>
          <w:szCs w:val="36"/>
        </w:rPr>
      </w:pPr>
    </w:p>
    <w:p>
      <w:pPr>
        <w:jc w:val="center"/>
        <w:rPr>
          <w:rFonts w:ascii="宋体" w:eastAsia="宋体" w:hAnsi="宋体"/>
          <w:b/>
          <w:bCs/>
          <w:sz w:val="36"/>
          <w:szCs w:val="40"/>
        </w:rPr>
      </w:pPr>
      <w:bookmarkStart w:id="114" w:name="_Toc1550_WPSOffice_Type3"/>
      <w:r>
        <w:rPr>
          <w:rFonts w:ascii="宋体" w:eastAsia="宋体" w:hAnsi="宋体"/>
          <w:b/>
          <w:bCs/>
          <w:sz w:val="36"/>
          <w:szCs w:val="40"/>
        </w:rPr>
        <w:t>目</w:t>
      </w:r>
      <w:r>
        <w:rPr>
          <w:rFonts w:ascii="宋体" w:eastAsia="宋体" w:hAnsi="宋体" w:hint="eastAsia"/>
          <w:b/>
          <w:bCs/>
          <w:sz w:val="36"/>
          <w:szCs w:val="40"/>
        </w:rPr>
        <w:t xml:space="preserve"> </w:t>
      </w:r>
      <w:r>
        <w:rPr>
          <w:rFonts w:ascii="宋体" w:eastAsia="宋体" w:hAnsi="宋体"/>
          <w:b/>
          <w:bCs/>
          <w:sz w:val="36"/>
          <w:szCs w:val="40"/>
        </w:rPr>
        <w:t>录</w:t>
      </w:r>
    </w:p>
    <w:p>
      <w:pPr>
        <w:spacing w:line="460" w:lineRule="exact"/>
        <w:jc w:val="center"/>
        <w:rPr>
          <w:rFonts w:ascii="宋体" w:eastAsia="宋体" w:hAnsi="宋体"/>
          <w:b/>
          <w:bCs/>
          <w:sz w:val="48"/>
          <w:szCs w:val="52"/>
        </w:rPr>
      </w:pPr>
    </w:p>
    <w:p>
      <w:pPr>
        <w:pStyle w:val="WPSOffice1"/>
        <w:tabs>
          <w:tab w:val="right" w:leader="dot" w:pos="8306"/>
        </w:tabs>
        <w:spacing w:line="460" w:lineRule="exact"/>
        <w:rPr>
          <w:sz w:val="28"/>
          <w:szCs w:val="28"/>
        </w:rPr>
      </w:pPr>
      <w:hyperlink w:anchor="_Toc961_WPSOffice_Level1" w:history="1">
        <w:r>
          <w:rPr>
            <w:rFonts w:ascii="黑体" w:eastAsia="黑体" w:hAnsi="黑体" w:cs="黑体" w:hint="eastAsia"/>
            <w:sz w:val="28"/>
            <w:szCs w:val="28"/>
          </w:rPr>
          <w:t>一、</w:t>
        </w:r>
        <w:r>
          <w:rPr>
            <w:rFonts w:ascii="黑体" w:eastAsia="黑体" w:hAnsi="黑体" w:cs="黑体" w:hint="eastAsia"/>
            <w:sz w:val="28"/>
            <w:szCs w:val="28"/>
          </w:rPr>
          <w:t>“</w:t>
        </w:r>
        <w:r>
          <w:rPr>
            <w:rFonts w:ascii="黑体" w:eastAsia="黑体" w:hAnsi="黑体" w:cs="黑体" w:hint="eastAsia"/>
            <w:sz w:val="28"/>
            <w:szCs w:val="28"/>
          </w:rPr>
          <w:t>十二五</w:t>
        </w:r>
        <w:r>
          <w:rPr>
            <w:rFonts w:ascii="黑体" w:eastAsia="黑体" w:hAnsi="黑体" w:cs="黑体" w:hint="eastAsia"/>
            <w:sz w:val="28"/>
            <w:szCs w:val="28"/>
          </w:rPr>
          <w:t>”</w:t>
        </w:r>
        <w:r>
          <w:rPr>
            <w:rFonts w:ascii="黑体" w:eastAsia="黑体" w:hAnsi="黑体" w:cs="黑体" w:hint="eastAsia"/>
            <w:sz w:val="28"/>
            <w:szCs w:val="28"/>
          </w:rPr>
          <w:t>期间取得的成绩和存在的问题</w:t>
        </w:r>
        <w:r>
          <w:rPr>
            <w:sz w:val="28"/>
            <w:szCs w:val="28"/>
          </w:rPr>
          <w:tab/>
        </w:r>
      </w:hyperlink>
      <w:r>
        <w:rPr>
          <w:rFonts w:hint="eastAsia"/>
          <w:sz w:val="28"/>
          <w:szCs w:val="28"/>
        </w:rPr>
        <w:t>29</w:t>
      </w:r>
    </w:p>
    <w:p>
      <w:pPr>
        <w:pStyle w:val="WPSOffice2"/>
        <w:tabs>
          <w:tab w:val="right" w:leader="dot" w:pos="8306"/>
        </w:tabs>
        <w:spacing w:line="460" w:lineRule="exact"/>
        <w:ind w:left="420"/>
        <w:rPr>
          <w:sz w:val="28"/>
          <w:szCs w:val="28"/>
        </w:rPr>
      </w:pPr>
      <w:hyperlink w:anchor="_Toc1550_WPSOffice_Level2" w:history="1">
        <w:r>
          <w:rPr>
            <w:rFonts w:ascii="楷体" w:eastAsia="楷体" w:hAnsi="楷体" w:cs="楷体" w:hint="eastAsia"/>
            <w:sz w:val="28"/>
            <w:szCs w:val="28"/>
          </w:rPr>
          <w:t>（一）取得的成绩</w:t>
        </w:r>
        <w:r>
          <w:rPr>
            <w:sz w:val="28"/>
            <w:szCs w:val="28"/>
          </w:rPr>
          <w:tab/>
        </w:r>
      </w:hyperlink>
      <w:r>
        <w:rPr>
          <w:rFonts w:hint="eastAsia"/>
          <w:sz w:val="28"/>
          <w:szCs w:val="28"/>
        </w:rPr>
        <w:t>29</w:t>
      </w:r>
    </w:p>
    <w:p>
      <w:pPr>
        <w:pStyle w:val="WPSOffice2"/>
        <w:tabs>
          <w:tab w:val="right" w:leader="dot" w:pos="8306"/>
        </w:tabs>
        <w:spacing w:line="460" w:lineRule="exact"/>
        <w:ind w:left="420"/>
        <w:rPr>
          <w:sz w:val="28"/>
          <w:szCs w:val="28"/>
        </w:rPr>
      </w:pPr>
      <w:hyperlink w:anchor="_Toc20167_WPSOffice_Level2" w:history="1">
        <w:r>
          <w:rPr>
            <w:rFonts w:ascii="楷体" w:eastAsia="楷体" w:hAnsi="楷体" w:cs="楷体" w:hint="eastAsia"/>
            <w:sz w:val="28"/>
            <w:szCs w:val="28"/>
          </w:rPr>
          <w:t>（二）存在的问题</w:t>
        </w:r>
        <w:r>
          <w:rPr>
            <w:sz w:val="28"/>
            <w:szCs w:val="28"/>
          </w:rPr>
          <w:tab/>
        </w:r>
      </w:hyperlink>
      <w:r>
        <w:rPr>
          <w:rFonts w:hint="eastAsia"/>
          <w:sz w:val="28"/>
          <w:szCs w:val="28"/>
        </w:rPr>
        <w:t>30</w:t>
      </w:r>
    </w:p>
    <w:p>
      <w:pPr>
        <w:pStyle w:val="WPSOffice1"/>
        <w:tabs>
          <w:tab w:val="right" w:leader="dot" w:pos="8306"/>
        </w:tabs>
        <w:spacing w:line="460" w:lineRule="exact"/>
        <w:rPr>
          <w:sz w:val="28"/>
          <w:szCs w:val="28"/>
        </w:rPr>
      </w:pPr>
      <w:hyperlink w:anchor="_Toc21008_WPSOffice_Level1" w:history="1">
        <w:r>
          <w:rPr>
            <w:rFonts w:ascii="黑体" w:eastAsia="黑体" w:hAnsi="黑体" w:cs="黑体" w:hint="eastAsia"/>
            <w:sz w:val="28"/>
            <w:szCs w:val="28"/>
          </w:rPr>
          <w:t>二、</w:t>
        </w:r>
        <w:r>
          <w:rPr>
            <w:rFonts w:ascii="黑体" w:eastAsia="黑体" w:hAnsi="黑体" w:cs="黑体" w:hint="eastAsia"/>
            <w:sz w:val="28"/>
            <w:szCs w:val="28"/>
          </w:rPr>
          <w:t>“</w:t>
        </w:r>
        <w:r>
          <w:rPr>
            <w:rFonts w:ascii="黑体" w:eastAsia="黑体" w:hAnsi="黑体" w:cs="黑体" w:hint="eastAsia"/>
            <w:sz w:val="28"/>
            <w:szCs w:val="28"/>
          </w:rPr>
          <w:t>十三五</w:t>
        </w:r>
        <w:r>
          <w:rPr>
            <w:rFonts w:ascii="黑体" w:eastAsia="黑体" w:hAnsi="黑体" w:cs="黑体" w:hint="eastAsia"/>
            <w:sz w:val="28"/>
            <w:szCs w:val="28"/>
          </w:rPr>
          <w:t>”</w:t>
        </w:r>
        <w:r>
          <w:rPr>
            <w:rFonts w:ascii="黑体" w:eastAsia="黑体" w:hAnsi="黑体" w:cs="黑体" w:hint="eastAsia"/>
            <w:sz w:val="28"/>
            <w:szCs w:val="28"/>
          </w:rPr>
          <w:t>奋斗目标</w:t>
        </w:r>
        <w:r>
          <w:rPr>
            <w:sz w:val="28"/>
            <w:szCs w:val="28"/>
          </w:rPr>
          <w:tab/>
        </w:r>
      </w:hyperlink>
      <w:r>
        <w:rPr>
          <w:rFonts w:hint="eastAsia"/>
          <w:sz w:val="28"/>
          <w:szCs w:val="28"/>
        </w:rPr>
        <w:t>30</w:t>
      </w:r>
    </w:p>
    <w:p>
      <w:pPr>
        <w:pStyle w:val="WPSOffice2"/>
        <w:tabs>
          <w:tab w:val="right" w:leader="dot" w:pos="8306"/>
        </w:tabs>
        <w:spacing w:line="460" w:lineRule="exact"/>
        <w:ind w:left="420"/>
        <w:rPr>
          <w:sz w:val="28"/>
          <w:szCs w:val="28"/>
        </w:rPr>
      </w:pPr>
      <w:hyperlink w:anchor="_Toc961_WPSOffice_Level2" w:history="1">
        <w:r>
          <w:rPr>
            <w:rFonts w:ascii="楷体" w:eastAsia="楷体" w:hAnsi="楷体" w:cs="楷体" w:hint="eastAsia"/>
            <w:sz w:val="28"/>
            <w:szCs w:val="28"/>
          </w:rPr>
          <w:t>（一）优化教师队伍结构</w:t>
        </w:r>
        <w:r>
          <w:rPr>
            <w:sz w:val="28"/>
            <w:szCs w:val="28"/>
          </w:rPr>
          <w:tab/>
        </w:r>
      </w:hyperlink>
      <w:r>
        <w:rPr>
          <w:rFonts w:hint="eastAsia"/>
          <w:sz w:val="28"/>
          <w:szCs w:val="28"/>
        </w:rPr>
        <w:t>30</w:t>
      </w:r>
    </w:p>
    <w:p>
      <w:pPr>
        <w:pStyle w:val="WPSOffice3"/>
        <w:tabs>
          <w:tab w:val="right" w:leader="dot" w:pos="8306"/>
        </w:tabs>
        <w:spacing w:line="460" w:lineRule="exact"/>
        <w:ind w:left="840"/>
        <w:rPr>
          <w:sz w:val="28"/>
          <w:szCs w:val="28"/>
        </w:rPr>
      </w:pPr>
      <w:hyperlink w:anchor="_Toc1550_WPSOffice_Level3" w:history="1">
        <w:r>
          <w:rPr>
            <w:rFonts w:ascii="仿宋" w:eastAsia="仿宋" w:hAnsi="仿宋" w:hint="eastAsia"/>
            <w:sz w:val="28"/>
            <w:szCs w:val="28"/>
          </w:rPr>
          <w:t>1.学历结构</w:t>
        </w:r>
        <w:r>
          <w:rPr>
            <w:sz w:val="28"/>
            <w:szCs w:val="28"/>
          </w:rPr>
          <w:tab/>
        </w:r>
      </w:hyperlink>
      <w:r>
        <w:rPr>
          <w:rFonts w:hint="eastAsia"/>
          <w:sz w:val="28"/>
          <w:szCs w:val="28"/>
        </w:rPr>
        <w:t>31</w:t>
      </w:r>
    </w:p>
    <w:p>
      <w:pPr>
        <w:pStyle w:val="WPSOffice3"/>
        <w:tabs>
          <w:tab w:val="right" w:leader="dot" w:pos="8306"/>
        </w:tabs>
        <w:spacing w:line="460" w:lineRule="exact"/>
        <w:ind w:left="840"/>
        <w:rPr>
          <w:sz w:val="28"/>
          <w:szCs w:val="28"/>
        </w:rPr>
      </w:pPr>
      <w:hyperlink w:anchor="_Toc20167_WPSOffice_Level3" w:history="1">
        <w:r>
          <w:rPr>
            <w:rFonts w:ascii="仿宋" w:eastAsia="仿宋" w:hAnsi="仿宋" w:hint="eastAsia"/>
            <w:sz w:val="28"/>
            <w:szCs w:val="28"/>
          </w:rPr>
          <w:t>2.职称结构</w:t>
        </w:r>
        <w:r>
          <w:rPr>
            <w:sz w:val="28"/>
            <w:szCs w:val="28"/>
          </w:rPr>
          <w:tab/>
        </w:r>
      </w:hyperlink>
      <w:r>
        <w:rPr>
          <w:rFonts w:hint="eastAsia"/>
          <w:sz w:val="28"/>
          <w:szCs w:val="28"/>
        </w:rPr>
        <w:t>31</w:t>
      </w:r>
    </w:p>
    <w:p>
      <w:pPr>
        <w:pStyle w:val="WPSOffice3"/>
        <w:tabs>
          <w:tab w:val="right" w:leader="dot" w:pos="8306"/>
        </w:tabs>
        <w:spacing w:line="460" w:lineRule="exact"/>
        <w:ind w:left="840"/>
        <w:rPr>
          <w:sz w:val="28"/>
          <w:szCs w:val="28"/>
        </w:rPr>
      </w:pPr>
      <w:hyperlink w:anchor="_Toc21008_WPSOffice_Level3" w:history="1">
        <w:r>
          <w:rPr>
            <w:rFonts w:ascii="仿宋" w:eastAsia="仿宋" w:hAnsi="仿宋" w:hint="eastAsia"/>
            <w:sz w:val="28"/>
            <w:szCs w:val="28"/>
          </w:rPr>
          <w:t>3.学缘结构</w:t>
        </w:r>
        <w:r>
          <w:rPr>
            <w:sz w:val="28"/>
            <w:szCs w:val="28"/>
          </w:rPr>
          <w:tab/>
        </w:r>
      </w:hyperlink>
      <w:r>
        <w:rPr>
          <w:rFonts w:hint="eastAsia"/>
          <w:sz w:val="28"/>
          <w:szCs w:val="28"/>
        </w:rPr>
        <w:t>31</w:t>
      </w:r>
    </w:p>
    <w:p>
      <w:pPr>
        <w:pStyle w:val="WPSOffice3"/>
        <w:tabs>
          <w:tab w:val="right" w:leader="dot" w:pos="8306"/>
        </w:tabs>
        <w:spacing w:line="460" w:lineRule="exact"/>
        <w:ind w:left="840"/>
        <w:rPr>
          <w:sz w:val="28"/>
          <w:szCs w:val="28"/>
        </w:rPr>
      </w:pPr>
      <w:hyperlink w:anchor="_Toc3936_WPSOffice_Level3" w:history="1">
        <w:r>
          <w:rPr>
            <w:rFonts w:ascii="仿宋" w:eastAsia="仿宋" w:hAnsi="仿宋" w:hint="eastAsia"/>
            <w:sz w:val="28"/>
            <w:szCs w:val="28"/>
          </w:rPr>
          <w:t>4.</w:t>
        </w:r>
        <w:r>
          <w:rPr>
            <w:rFonts w:ascii="仿宋" w:eastAsia="仿宋" w:hAnsi="仿宋" w:hint="eastAsia"/>
            <w:sz w:val="28"/>
            <w:szCs w:val="28"/>
          </w:rPr>
          <w:t>“</w:t>
        </w:r>
        <w:r>
          <w:rPr>
            <w:rFonts w:ascii="仿宋" w:eastAsia="仿宋" w:hAnsi="仿宋" w:hint="eastAsia"/>
            <w:sz w:val="28"/>
            <w:szCs w:val="28"/>
          </w:rPr>
          <w:t>双师双能</w:t>
        </w:r>
        <w:r>
          <w:rPr>
            <w:rFonts w:ascii="仿宋" w:eastAsia="仿宋" w:hAnsi="仿宋" w:hint="eastAsia"/>
            <w:sz w:val="28"/>
            <w:szCs w:val="28"/>
          </w:rPr>
          <w:t>”</w:t>
        </w:r>
        <w:r>
          <w:rPr>
            <w:rFonts w:ascii="仿宋" w:eastAsia="仿宋" w:hAnsi="仿宋" w:hint="eastAsia"/>
            <w:sz w:val="28"/>
            <w:szCs w:val="28"/>
          </w:rPr>
          <w:t>型教师</w:t>
        </w:r>
        <w:r>
          <w:rPr>
            <w:sz w:val="28"/>
            <w:szCs w:val="28"/>
          </w:rPr>
          <w:tab/>
        </w:r>
      </w:hyperlink>
      <w:r>
        <w:rPr>
          <w:rFonts w:hint="eastAsia"/>
          <w:sz w:val="28"/>
          <w:szCs w:val="28"/>
        </w:rPr>
        <w:t>31</w:t>
      </w:r>
    </w:p>
    <w:p>
      <w:pPr>
        <w:pStyle w:val="WPSOffice2"/>
        <w:tabs>
          <w:tab w:val="right" w:leader="dot" w:pos="8306"/>
        </w:tabs>
        <w:spacing w:line="460" w:lineRule="exact"/>
        <w:ind w:left="420"/>
        <w:rPr>
          <w:sz w:val="28"/>
          <w:szCs w:val="28"/>
        </w:rPr>
      </w:pPr>
      <w:hyperlink w:anchor="_Toc21008_WPSOffice_Level2" w:history="1">
        <w:r>
          <w:rPr>
            <w:rFonts w:ascii="楷体" w:eastAsia="楷体" w:hAnsi="楷体" w:cs="楷体" w:hint="eastAsia"/>
            <w:sz w:val="28"/>
            <w:szCs w:val="28"/>
          </w:rPr>
          <w:t>（二）师资队伍素质建设目标</w:t>
        </w:r>
        <w:r>
          <w:rPr>
            <w:sz w:val="28"/>
            <w:szCs w:val="28"/>
          </w:rPr>
          <w:tab/>
        </w:r>
      </w:hyperlink>
      <w:r>
        <w:rPr>
          <w:rFonts w:hint="eastAsia"/>
          <w:sz w:val="28"/>
          <w:szCs w:val="28"/>
        </w:rPr>
        <w:t>31</w:t>
      </w:r>
    </w:p>
    <w:p>
      <w:pPr>
        <w:pStyle w:val="WPSOffice2"/>
        <w:tabs>
          <w:tab w:val="right" w:leader="dot" w:pos="8306"/>
        </w:tabs>
        <w:spacing w:line="460" w:lineRule="exact"/>
        <w:ind w:left="420"/>
        <w:rPr>
          <w:sz w:val="28"/>
          <w:szCs w:val="28"/>
        </w:rPr>
      </w:pPr>
      <w:hyperlink w:anchor="_Toc3936_WPSOffice_Level2" w:history="1">
        <w:r>
          <w:rPr>
            <w:rFonts w:ascii="楷体" w:eastAsia="楷体" w:hAnsi="楷体" w:cs="楷体" w:hint="eastAsia"/>
            <w:sz w:val="28"/>
            <w:szCs w:val="28"/>
          </w:rPr>
          <w:t>（三）教师队伍梯队建设目标</w:t>
        </w:r>
        <w:r>
          <w:rPr>
            <w:sz w:val="28"/>
            <w:szCs w:val="28"/>
          </w:rPr>
          <w:tab/>
        </w:r>
      </w:hyperlink>
      <w:r>
        <w:rPr>
          <w:rFonts w:hint="eastAsia"/>
          <w:sz w:val="28"/>
          <w:szCs w:val="28"/>
        </w:rPr>
        <w:t>32</w:t>
      </w:r>
    </w:p>
    <w:p>
      <w:pPr>
        <w:pStyle w:val="WPSOffice1"/>
        <w:tabs>
          <w:tab w:val="right" w:leader="dot" w:pos="8306"/>
        </w:tabs>
        <w:spacing w:line="460" w:lineRule="exact"/>
        <w:rPr>
          <w:sz w:val="28"/>
          <w:szCs w:val="28"/>
        </w:rPr>
      </w:pPr>
      <w:hyperlink w:anchor="_Toc3936_WPSOffice_Level1" w:history="1">
        <w:r>
          <w:rPr>
            <w:rFonts w:ascii="黑体" w:eastAsia="黑体" w:hAnsi="黑体" w:cs="黑体" w:hint="eastAsia"/>
            <w:sz w:val="28"/>
            <w:szCs w:val="28"/>
          </w:rPr>
          <w:t>三、 具体措施</w:t>
        </w:r>
        <w:r>
          <w:rPr>
            <w:sz w:val="28"/>
            <w:szCs w:val="28"/>
          </w:rPr>
          <w:tab/>
        </w:r>
      </w:hyperlink>
      <w:r>
        <w:rPr>
          <w:rFonts w:hint="eastAsia"/>
          <w:sz w:val="28"/>
          <w:szCs w:val="28"/>
        </w:rPr>
        <w:t>32</w:t>
      </w:r>
    </w:p>
    <w:p>
      <w:pPr>
        <w:pStyle w:val="WPSOffice2"/>
        <w:tabs>
          <w:tab w:val="right" w:leader="dot" w:pos="8306"/>
        </w:tabs>
        <w:spacing w:line="460" w:lineRule="exact"/>
        <w:ind w:left="420"/>
        <w:rPr>
          <w:sz w:val="28"/>
          <w:szCs w:val="28"/>
        </w:rPr>
      </w:pPr>
      <w:hyperlink w:anchor="_Toc20198_WPSOffice_Level2" w:history="1">
        <w:r>
          <w:rPr>
            <w:rFonts w:ascii="楷体" w:eastAsia="楷体" w:hAnsi="楷体" w:cs="楷体" w:hint="eastAsia"/>
            <w:sz w:val="28"/>
            <w:szCs w:val="28"/>
          </w:rPr>
          <w:t>（一）加强教师队伍的思想政治工作</w:t>
        </w:r>
        <w:r>
          <w:rPr>
            <w:sz w:val="28"/>
            <w:szCs w:val="28"/>
          </w:rPr>
          <w:tab/>
        </w:r>
      </w:hyperlink>
      <w:r>
        <w:rPr>
          <w:rFonts w:hint="eastAsia"/>
          <w:sz w:val="28"/>
          <w:szCs w:val="28"/>
        </w:rPr>
        <w:t>32</w:t>
      </w:r>
    </w:p>
    <w:p>
      <w:pPr>
        <w:pStyle w:val="WPSOffice2"/>
        <w:tabs>
          <w:tab w:val="right" w:leader="dot" w:pos="8306"/>
        </w:tabs>
        <w:spacing w:line="460" w:lineRule="exact"/>
        <w:ind w:left="420"/>
        <w:rPr>
          <w:sz w:val="28"/>
          <w:szCs w:val="28"/>
        </w:rPr>
      </w:pPr>
      <w:hyperlink w:anchor="_Toc6501_WPSOffice_Level2" w:history="1">
        <w:r>
          <w:rPr>
            <w:rFonts w:ascii="楷体" w:eastAsia="楷体" w:hAnsi="楷体" w:cs="楷体" w:hint="eastAsia"/>
            <w:sz w:val="28"/>
            <w:szCs w:val="28"/>
          </w:rPr>
          <w:t>（二）进一步提高待遇</w:t>
        </w:r>
        <w:r>
          <w:rPr>
            <w:sz w:val="28"/>
            <w:szCs w:val="28"/>
          </w:rPr>
          <w:tab/>
        </w:r>
      </w:hyperlink>
      <w:r>
        <w:rPr>
          <w:rFonts w:hint="eastAsia"/>
          <w:sz w:val="28"/>
          <w:szCs w:val="28"/>
        </w:rPr>
        <w:t>32</w:t>
      </w:r>
    </w:p>
    <w:p>
      <w:pPr>
        <w:pStyle w:val="WPSOffice2"/>
        <w:tabs>
          <w:tab w:val="right" w:leader="dot" w:pos="8306"/>
        </w:tabs>
        <w:spacing w:line="460" w:lineRule="exact"/>
        <w:ind w:left="420"/>
        <w:rPr>
          <w:sz w:val="28"/>
          <w:szCs w:val="28"/>
        </w:rPr>
      </w:pPr>
      <w:hyperlink w:anchor="_Toc4197_WPSOffice_Level2" w:history="1">
        <w:r>
          <w:rPr>
            <w:rFonts w:ascii="楷体" w:eastAsia="楷体" w:hAnsi="楷体" w:cs="楷体" w:hint="eastAsia"/>
            <w:sz w:val="28"/>
            <w:szCs w:val="28"/>
          </w:rPr>
          <w:t>（三）加快人事制度改革步伐</w:t>
        </w:r>
        <w:r>
          <w:rPr>
            <w:sz w:val="28"/>
            <w:szCs w:val="28"/>
          </w:rPr>
          <w:tab/>
        </w:r>
      </w:hyperlink>
      <w:r>
        <w:rPr>
          <w:rFonts w:hint="eastAsia"/>
          <w:sz w:val="28"/>
          <w:szCs w:val="28"/>
        </w:rPr>
        <w:t>32</w:t>
      </w:r>
    </w:p>
    <w:p>
      <w:pPr>
        <w:pStyle w:val="WPSOffice2"/>
        <w:tabs>
          <w:tab w:val="right" w:leader="dot" w:pos="8306"/>
        </w:tabs>
        <w:spacing w:line="460" w:lineRule="exact"/>
        <w:ind w:left="420"/>
        <w:rPr>
          <w:sz w:val="28"/>
          <w:szCs w:val="28"/>
        </w:rPr>
      </w:pPr>
      <w:hyperlink w:anchor="_Toc4826_WPSOffice_Level2" w:history="1">
        <w:r>
          <w:rPr>
            <w:rFonts w:ascii="楷体" w:eastAsia="楷体" w:hAnsi="楷体" w:cs="楷体" w:hint="eastAsia"/>
            <w:sz w:val="28"/>
            <w:szCs w:val="28"/>
          </w:rPr>
          <w:t>（四）进一步完善、健全制度</w:t>
        </w:r>
        <w:r>
          <w:rPr>
            <w:sz w:val="28"/>
            <w:szCs w:val="28"/>
          </w:rPr>
          <w:tab/>
        </w:r>
      </w:hyperlink>
      <w:r>
        <w:rPr>
          <w:rFonts w:hint="eastAsia"/>
          <w:sz w:val="28"/>
          <w:szCs w:val="28"/>
        </w:rPr>
        <w:t>33</w:t>
      </w:r>
    </w:p>
    <w:p>
      <w:pPr>
        <w:pStyle w:val="WPSOffice2"/>
        <w:tabs>
          <w:tab w:val="right" w:leader="dot" w:pos="8306"/>
        </w:tabs>
        <w:spacing w:line="460" w:lineRule="exact"/>
        <w:ind w:left="420"/>
        <w:rPr>
          <w:sz w:val="28"/>
          <w:szCs w:val="28"/>
        </w:rPr>
      </w:pPr>
      <w:hyperlink w:anchor="_Toc21578_WPSOffice_Level2" w:history="1">
        <w:r>
          <w:rPr>
            <w:rFonts w:ascii="楷体" w:eastAsia="楷体" w:hAnsi="楷体" w:cs="楷体" w:hint="eastAsia"/>
            <w:sz w:val="28"/>
            <w:szCs w:val="28"/>
          </w:rPr>
          <w:t>（五）加大人才培养和人才引进力度</w:t>
        </w:r>
        <w:r>
          <w:rPr>
            <w:sz w:val="28"/>
            <w:szCs w:val="28"/>
          </w:rPr>
          <w:tab/>
        </w:r>
      </w:hyperlink>
      <w:r>
        <w:rPr>
          <w:rFonts w:hint="eastAsia"/>
          <w:sz w:val="28"/>
          <w:szCs w:val="28"/>
        </w:rPr>
        <w:t>33</w:t>
      </w:r>
    </w:p>
    <w:p>
      <w:pPr>
        <w:pStyle w:val="WPSOffice2"/>
        <w:tabs>
          <w:tab w:val="right" w:leader="dot" w:pos="8306"/>
        </w:tabs>
        <w:spacing w:line="460" w:lineRule="exact"/>
        <w:ind w:left="420"/>
        <w:rPr>
          <w:sz w:val="28"/>
          <w:szCs w:val="28"/>
        </w:rPr>
      </w:pPr>
      <w:hyperlink w:anchor="_Toc30721_WPSOffice_Level2" w:history="1">
        <w:r>
          <w:rPr>
            <w:rFonts w:ascii="楷体" w:eastAsia="楷体" w:hAnsi="楷体" w:cs="楷体" w:hint="eastAsia"/>
            <w:sz w:val="28"/>
            <w:szCs w:val="28"/>
          </w:rPr>
          <w:t>（六）抓好青年教师队伍建设</w:t>
        </w:r>
        <w:r>
          <w:rPr>
            <w:sz w:val="28"/>
            <w:szCs w:val="28"/>
          </w:rPr>
          <w:tab/>
        </w:r>
      </w:hyperlink>
      <w:r>
        <w:rPr>
          <w:rFonts w:hint="eastAsia"/>
          <w:sz w:val="28"/>
          <w:szCs w:val="28"/>
        </w:rPr>
        <w:t>33</w:t>
      </w:r>
    </w:p>
    <w:p>
      <w:pPr>
        <w:pStyle w:val="WPSOffice2"/>
        <w:tabs>
          <w:tab w:val="right" w:leader="dot" w:pos="8306"/>
        </w:tabs>
        <w:spacing w:line="460" w:lineRule="exact"/>
        <w:ind w:left="420"/>
        <w:rPr>
          <w:sz w:val="28"/>
          <w:szCs w:val="28"/>
        </w:rPr>
      </w:pPr>
      <w:hyperlink w:anchor="_Toc19831_WPSOffice_Level2" w:history="1">
        <w:r>
          <w:rPr>
            <w:rFonts w:ascii="楷体" w:eastAsia="楷体" w:hAnsi="楷体" w:cs="楷体" w:hint="eastAsia"/>
            <w:sz w:val="28"/>
            <w:szCs w:val="28"/>
          </w:rPr>
          <w:t>（七）进一步优化教师队伍专兼职结构</w:t>
        </w:r>
        <w:r>
          <w:rPr>
            <w:sz w:val="28"/>
            <w:szCs w:val="28"/>
          </w:rPr>
          <w:tab/>
        </w:r>
      </w:hyperlink>
      <w:r>
        <w:rPr>
          <w:rFonts w:hint="eastAsia"/>
          <w:sz w:val="28"/>
          <w:szCs w:val="28"/>
        </w:rPr>
        <w:t>34</w:t>
      </w:r>
    </w:p>
    <w:p>
      <w:pPr>
        <w:pStyle w:val="WPSOffice2"/>
        <w:tabs>
          <w:tab w:val="right" w:leader="dot" w:pos="8306"/>
        </w:tabs>
        <w:spacing w:line="460" w:lineRule="exact"/>
        <w:ind w:left="420"/>
        <w:rPr>
          <w:sz w:val="28"/>
          <w:szCs w:val="28"/>
        </w:rPr>
      </w:pPr>
      <w:hyperlink w:anchor="_Toc24880_WPSOffice_Level2" w:history="1">
        <w:r>
          <w:rPr>
            <w:rFonts w:ascii="楷体" w:eastAsia="楷体" w:hAnsi="楷体" w:cs="楷体" w:hint="eastAsia"/>
            <w:sz w:val="28"/>
            <w:szCs w:val="28"/>
          </w:rPr>
          <w:t>（八）加强专业带头人和骨干教师的选拔和培养</w:t>
        </w:r>
        <w:r>
          <w:rPr>
            <w:sz w:val="28"/>
            <w:szCs w:val="28"/>
          </w:rPr>
          <w:tab/>
        </w:r>
      </w:hyperlink>
      <w:r>
        <w:rPr>
          <w:rFonts w:hint="eastAsia"/>
          <w:sz w:val="28"/>
          <w:szCs w:val="28"/>
        </w:rPr>
        <w:t>34</w:t>
      </w:r>
    </w:p>
    <w:p>
      <w:pPr>
        <w:pStyle w:val="WPSOffice2"/>
        <w:tabs>
          <w:tab w:val="right" w:leader="dot" w:pos="8306"/>
        </w:tabs>
        <w:spacing w:line="460" w:lineRule="exact"/>
        <w:ind w:left="420"/>
        <w:rPr>
          <w:sz w:val="24"/>
          <w:szCs w:val="24"/>
        </w:rPr>
      </w:pPr>
      <w:hyperlink w:anchor="_Toc10217_WPSOffice_Level2" w:history="1">
        <w:r>
          <w:rPr>
            <w:rFonts w:ascii="楷体" w:eastAsia="楷体" w:hAnsi="楷体" w:cs="楷体" w:hint="eastAsia"/>
            <w:sz w:val="28"/>
            <w:szCs w:val="28"/>
          </w:rPr>
          <w:t>（九）经费投入</w:t>
        </w:r>
        <w:r>
          <w:rPr>
            <w:sz w:val="28"/>
            <w:szCs w:val="28"/>
          </w:rPr>
          <w:tab/>
        </w:r>
      </w:hyperlink>
      <w:r>
        <w:rPr>
          <w:rFonts w:hint="eastAsia"/>
          <w:sz w:val="28"/>
          <w:szCs w:val="28"/>
        </w:rPr>
        <w:t>34</w:t>
      </w:r>
    </w:p>
    <w:p>
      <w:pPr>
        <w:spacing w:line="460" w:lineRule="exact"/>
        <w:jc w:val="center"/>
        <w:rPr>
          <w:b/>
          <w:sz w:val="144"/>
          <w:szCs w:val="144"/>
        </w:rPr>
      </w:pPr>
      <w:bookmarkEnd w:id="114"/>
    </w:p>
    <w:p>
      <w:pPr>
        <w:spacing w:line="460" w:lineRule="exact"/>
        <w:jc w:val="center"/>
        <w:rPr>
          <w:b/>
          <w:sz w:val="144"/>
          <w:szCs w:val="144"/>
        </w:rPr>
      </w:pPr>
    </w:p>
    <w:p>
      <w:pPr>
        <w:spacing w:line="460" w:lineRule="exact"/>
        <w:jc w:val="center"/>
        <w:rPr>
          <w:b/>
          <w:sz w:val="144"/>
          <w:szCs w:val="144"/>
        </w:rPr>
        <w:sectPr>
          <w:footerReference w:type="default" r:id="rId29"/>
          <w:pgSz w:w="11906" w:h="16838"/>
          <w:pgMar w:top="1440" w:right="1800" w:bottom="1440" w:left="1800" w:header="851" w:footer="992" w:gutter="0"/>
          <w:cols w:space="708"/>
          <w:docGrid w:type="lines" w:linePitch="312" w:charSpace="0"/>
        </w:sectPr>
      </w:pPr>
    </w:p>
    <w:p>
      <w:pPr>
        <w:spacing w:line="460" w:lineRule="exact"/>
        <w:jc w:val="center"/>
        <w:rPr>
          <w:b/>
          <w:sz w:val="144"/>
          <w:szCs w:val="144"/>
        </w:rPr>
      </w:pPr>
    </w:p>
    <w:p>
      <w:pPr>
        <w:spacing w:line="460" w:lineRule="exact"/>
        <w:jc w:val="center"/>
        <w:rPr>
          <w:b/>
          <w:sz w:val="144"/>
          <w:szCs w:val="144"/>
        </w:rPr>
        <w:sectPr>
          <w:footerReference w:type="default" r:id="rId30"/>
          <w:pgSz w:w="11906" w:h="16838"/>
          <w:pgMar w:top="1440" w:right="1800" w:bottom="1440" w:left="1800" w:header="851" w:footer="992" w:gutter="0"/>
          <w:cols w:space="708"/>
          <w:docGrid w:type="lines" w:linePitch="312" w:charSpace="0"/>
        </w:sectPr>
      </w:pPr>
    </w:p>
    <w:p>
      <w:pPr>
        <w:spacing w:line="560" w:lineRule="exact"/>
        <w:jc w:val="center"/>
        <w:rPr>
          <w:b/>
          <w:sz w:val="44"/>
          <w:szCs w:val="44"/>
        </w:rPr>
      </w:pPr>
      <w:bookmarkStart w:id="115" w:name="_Toc20852_WPSOffice_Level1"/>
      <w:bookmarkStart w:id="116" w:name="_Toc12049_WPSOffice_Level1"/>
      <w:r>
        <w:rPr>
          <w:rFonts w:hint="eastAsia"/>
          <w:b/>
          <w:sz w:val="44"/>
          <w:szCs w:val="44"/>
        </w:rPr>
        <w:t>河北科技学院</w:t>
      </w:r>
      <w:bookmarkStart w:id="117" w:name="_Toc1550_WPSOffice_Level1"/>
      <w:bookmarkStart w:id="118" w:name="_Toc28211_WPSOffice_Level1"/>
      <w:bookmarkEnd w:id="115"/>
      <w:bookmarkEnd w:id="116"/>
    </w:p>
    <w:p>
      <w:pPr>
        <w:spacing w:line="560" w:lineRule="exact"/>
        <w:jc w:val="center"/>
        <w:rPr>
          <w:b/>
          <w:sz w:val="44"/>
          <w:szCs w:val="44"/>
        </w:rPr>
      </w:pPr>
      <w:r>
        <w:rPr>
          <w:rFonts w:hint="eastAsia"/>
          <w:b/>
          <w:sz w:val="44"/>
          <w:szCs w:val="44"/>
        </w:rPr>
        <w:t>“</w:t>
      </w:r>
      <w:r>
        <w:rPr>
          <w:rFonts w:hint="eastAsia"/>
          <w:b/>
          <w:sz w:val="44"/>
          <w:szCs w:val="44"/>
        </w:rPr>
        <w:t>十三五</w:t>
      </w:r>
      <w:r>
        <w:rPr>
          <w:rFonts w:hint="eastAsia"/>
          <w:b/>
          <w:sz w:val="44"/>
          <w:szCs w:val="44"/>
        </w:rPr>
        <w:t>”</w:t>
      </w:r>
      <w:r>
        <w:rPr>
          <w:rFonts w:hint="eastAsia"/>
          <w:b/>
          <w:sz w:val="44"/>
          <w:szCs w:val="44"/>
        </w:rPr>
        <w:t>师资队伍建设规划</w:t>
      </w:r>
      <w:bookmarkEnd w:id="117"/>
      <w:bookmarkEnd w:id="118"/>
    </w:p>
    <w:p>
      <w:pPr>
        <w:spacing w:line="560" w:lineRule="exact"/>
        <w:ind w:firstLine="713" w:firstLineChars="198"/>
        <w:jc w:val="center"/>
        <w:rPr>
          <w:sz w:val="36"/>
          <w:szCs w:val="36"/>
        </w:rPr>
      </w:pPr>
      <w:bookmarkStart w:id="119" w:name="_Toc20167_WPSOffice_Level1"/>
      <w:bookmarkStart w:id="120" w:name="_Toc6693_WPSOffice_Level1"/>
      <w:r>
        <w:rPr>
          <w:rFonts w:hint="eastAsia"/>
          <w:sz w:val="36"/>
          <w:szCs w:val="36"/>
        </w:rPr>
        <w:t>（2016-2020）</w:t>
      </w:r>
      <w:bookmarkEnd w:id="119"/>
      <w:bookmarkEnd w:id="120"/>
    </w:p>
    <w:p>
      <w:pPr>
        <w:spacing w:line="560" w:lineRule="exact"/>
        <w:ind w:firstLine="594" w:firstLineChars="198"/>
        <w:jc w:val="center"/>
        <w:rPr>
          <w:b/>
          <w:sz w:val="30"/>
          <w:szCs w:val="30"/>
        </w:rPr>
      </w:pPr>
    </w:p>
    <w:p>
      <w:pPr>
        <w:spacing w:line="560" w:lineRule="exact"/>
        <w:ind w:firstLine="594" w:firstLineChars="198"/>
        <w:rPr>
          <w:rFonts w:ascii="黑体" w:eastAsia="黑体" w:hAnsi="黑体" w:cs="黑体"/>
          <w:bCs/>
          <w:sz w:val="30"/>
          <w:szCs w:val="30"/>
        </w:rPr>
      </w:pPr>
      <w:bookmarkStart w:id="121" w:name="_Toc961_WPSOffice_Level1"/>
      <w:r>
        <w:rPr>
          <w:rFonts w:ascii="黑体" w:eastAsia="黑体" w:hAnsi="黑体" w:cs="黑体" w:hint="eastAsia"/>
          <w:bCs/>
          <w:sz w:val="30"/>
          <w:szCs w:val="30"/>
        </w:rPr>
        <w:t>一、</w:t>
      </w:r>
      <w:r>
        <w:rPr>
          <w:rFonts w:ascii="黑体" w:eastAsia="黑体" w:hAnsi="黑体" w:cs="黑体" w:hint="eastAsia"/>
          <w:bCs/>
          <w:sz w:val="30"/>
          <w:szCs w:val="30"/>
        </w:rPr>
        <w:t>“</w:t>
      </w:r>
      <w:r>
        <w:rPr>
          <w:rFonts w:ascii="黑体" w:eastAsia="黑体" w:hAnsi="黑体" w:cs="黑体" w:hint="eastAsia"/>
          <w:bCs/>
          <w:sz w:val="30"/>
          <w:szCs w:val="30"/>
        </w:rPr>
        <w:t>十二五</w:t>
      </w:r>
      <w:r>
        <w:rPr>
          <w:rFonts w:ascii="黑体" w:eastAsia="黑体" w:hAnsi="黑体" w:cs="黑体" w:hint="eastAsia"/>
          <w:bCs/>
          <w:sz w:val="30"/>
          <w:szCs w:val="30"/>
        </w:rPr>
        <w:t>”</w:t>
      </w:r>
      <w:r>
        <w:rPr>
          <w:rFonts w:ascii="黑体" w:eastAsia="黑体" w:hAnsi="黑体" w:cs="黑体" w:hint="eastAsia"/>
          <w:bCs/>
          <w:sz w:val="30"/>
          <w:szCs w:val="30"/>
        </w:rPr>
        <w:t>期间取得的成绩和存在的问题</w:t>
      </w:r>
      <w:bookmarkEnd w:id="121"/>
    </w:p>
    <w:p>
      <w:pPr>
        <w:spacing w:line="560" w:lineRule="exact"/>
        <w:ind w:firstLine="600" w:firstLineChars="200"/>
        <w:rPr>
          <w:rFonts w:ascii="楷体" w:eastAsia="楷体" w:hAnsi="楷体" w:cs="楷体"/>
          <w:b/>
          <w:sz w:val="30"/>
          <w:szCs w:val="30"/>
        </w:rPr>
      </w:pPr>
      <w:bookmarkStart w:id="122" w:name="_Toc1550_WPSOffice_Level2"/>
      <w:r>
        <w:rPr>
          <w:rFonts w:ascii="楷体" w:eastAsia="楷体" w:hAnsi="楷体" w:cs="楷体" w:hint="eastAsia"/>
          <w:b/>
          <w:sz w:val="30"/>
          <w:szCs w:val="30"/>
        </w:rPr>
        <w:t>（一）取得的成绩</w:t>
      </w:r>
      <w:bookmarkEnd w:id="122"/>
    </w:p>
    <w:p>
      <w:pPr>
        <w:spacing w:line="560" w:lineRule="exact"/>
        <w:ind w:firstLine="594" w:firstLineChars="198"/>
        <w:rPr>
          <w:rFonts w:ascii="仿宋" w:eastAsia="仿宋" w:hAnsi="仿宋"/>
          <w:b/>
          <w:sz w:val="30"/>
          <w:szCs w:val="30"/>
        </w:rPr>
      </w:pPr>
      <w:r>
        <w:rPr>
          <w:rFonts w:ascii="仿宋" w:eastAsia="仿宋" w:hAnsi="仿宋" w:hint="eastAsia"/>
          <w:sz w:val="30"/>
          <w:szCs w:val="30"/>
        </w:rPr>
        <w:t>根据我校总体发展规划对师资队伍的要求及师资队伍建设十二五规划，学校坚持</w:t>
      </w:r>
      <w:r>
        <w:rPr>
          <w:rFonts w:ascii="仿宋" w:eastAsia="仿宋" w:hAnsi="仿宋" w:cs="仿宋" w:hint="eastAsia"/>
          <w:sz w:val="30"/>
          <w:szCs w:val="30"/>
        </w:rPr>
        <w:t xml:space="preserve"> </w:t>
      </w:r>
      <w:r>
        <w:rPr>
          <w:rFonts w:ascii="仿宋" w:eastAsia="仿宋" w:hAnsi="仿宋" w:cs="仿宋" w:hint="eastAsia"/>
          <w:sz w:val="30"/>
          <w:szCs w:val="30"/>
        </w:rPr>
        <w:t>“</w:t>
      </w:r>
      <w:r>
        <w:rPr>
          <w:rFonts w:ascii="仿宋" w:eastAsia="仿宋" w:hAnsi="仿宋" w:cs="仿宋" w:hint="eastAsia"/>
          <w:sz w:val="30"/>
          <w:szCs w:val="30"/>
        </w:rPr>
        <w:t>人才强校、专家治学</w:t>
      </w:r>
      <w:r>
        <w:rPr>
          <w:rFonts w:ascii="仿宋" w:eastAsia="仿宋" w:hAnsi="仿宋" w:hint="eastAsia"/>
          <w:sz w:val="30"/>
          <w:szCs w:val="30"/>
        </w:rPr>
        <w:t>”</w:t>
      </w:r>
      <w:r>
        <w:rPr>
          <w:rFonts w:ascii="仿宋" w:eastAsia="仿宋" w:hAnsi="仿宋" w:hint="eastAsia"/>
          <w:sz w:val="30"/>
          <w:szCs w:val="30"/>
        </w:rPr>
        <w:t>，通过人才引进、师资培训、人事制度改革等一系列措施，以提高师资队伍整体素质和创新能力为中心，坚持以更新知识结构，提高教学能力为重点，不断加大师资队伍建设的力度。</w:t>
      </w:r>
    </w:p>
    <w:p>
      <w:pPr>
        <w:spacing w:line="560" w:lineRule="exact"/>
        <w:ind w:firstLine="594" w:firstLineChars="198"/>
        <w:rPr>
          <w:rFonts w:ascii="仿宋" w:eastAsia="仿宋" w:hAnsi="仿宋"/>
          <w:b/>
          <w:sz w:val="30"/>
          <w:szCs w:val="30"/>
        </w:rPr>
      </w:pPr>
      <w:r>
        <w:rPr>
          <w:rFonts w:ascii="仿宋" w:eastAsia="仿宋" w:hAnsi="仿宋" w:hint="eastAsia"/>
          <w:sz w:val="30"/>
          <w:szCs w:val="30"/>
        </w:rPr>
        <w:t>人才强校，优化教师队伍结构。引进了一批学历较高或具有丰富实践经验的专业技术职务的教师，近三年从各高校和企事业单位引进师资80 余名，充实了教师队伍，优化了教师学历、职称及年龄结构。一支</w:t>
      </w:r>
      <w:r>
        <w:rPr>
          <w:rFonts w:ascii="仿宋" w:eastAsia="仿宋" w:hAnsi="仿宋" w:hint="eastAsia"/>
          <w:sz w:val="30"/>
          <w:szCs w:val="30"/>
        </w:rPr>
        <w:t>“</w:t>
      </w:r>
      <w:r>
        <w:rPr>
          <w:rFonts w:ascii="仿宋" w:eastAsia="仿宋" w:hAnsi="仿宋" w:hint="eastAsia"/>
          <w:sz w:val="30"/>
          <w:szCs w:val="30"/>
        </w:rPr>
        <w:t>数量适当、结构合理、业务精湛、师德高尚</w:t>
      </w:r>
      <w:r>
        <w:rPr>
          <w:rFonts w:ascii="仿宋" w:eastAsia="仿宋" w:hAnsi="仿宋" w:hint="eastAsia"/>
          <w:sz w:val="30"/>
          <w:szCs w:val="30"/>
        </w:rPr>
        <w:t>”</w:t>
      </w:r>
      <w:r>
        <w:rPr>
          <w:rFonts w:ascii="仿宋" w:eastAsia="仿宋" w:hAnsi="仿宋" w:hint="eastAsia"/>
          <w:sz w:val="30"/>
          <w:szCs w:val="30"/>
        </w:rPr>
        <w:t>的教师队伍初步形成。</w:t>
      </w:r>
    </w:p>
    <w:p>
      <w:pPr>
        <w:spacing w:line="560" w:lineRule="exact"/>
        <w:ind w:firstLine="594" w:firstLineChars="198"/>
        <w:rPr>
          <w:rFonts w:ascii="仿宋" w:eastAsia="仿宋" w:hAnsi="仿宋"/>
          <w:b/>
          <w:sz w:val="30"/>
          <w:szCs w:val="30"/>
        </w:rPr>
      </w:pPr>
      <w:r>
        <w:rPr>
          <w:rFonts w:ascii="仿宋" w:eastAsia="仿宋" w:hAnsi="仿宋" w:hint="eastAsia"/>
          <w:sz w:val="30"/>
          <w:szCs w:val="30"/>
        </w:rPr>
        <w:t>重视专业带头人队伍建设。制定了《学科带头人管理规定》，组建了高水平的学科专业带头人队伍和教学督导队伍，充分发挥他们的领军作用，带动了学校学科专业建设快速发展。</w:t>
      </w:r>
      <w:r>
        <w:rPr>
          <w:rFonts w:ascii="仿宋" w:eastAsia="仿宋" w:hAnsi="仿宋"/>
          <w:sz w:val="30"/>
          <w:szCs w:val="30"/>
        </w:rPr>
        <w:t xml:space="preserve"> </w:t>
      </w:r>
    </w:p>
    <w:p>
      <w:pPr>
        <w:spacing w:line="560" w:lineRule="exact"/>
        <w:ind w:firstLine="594" w:firstLineChars="198"/>
        <w:rPr>
          <w:rFonts w:ascii="仿宋" w:eastAsia="仿宋" w:hAnsi="仿宋"/>
          <w:b/>
          <w:sz w:val="30"/>
          <w:szCs w:val="30"/>
        </w:rPr>
      </w:pPr>
      <w:r>
        <w:rPr>
          <w:rFonts w:ascii="仿宋" w:eastAsia="仿宋" w:hAnsi="仿宋" w:hint="eastAsia"/>
          <w:sz w:val="30"/>
          <w:szCs w:val="30"/>
        </w:rPr>
        <w:t>重视主讲教师队伍建设。制定了《关于实行课程主讲教师制度暂行办法》，对主讲教师资格进行严格审查，学校符合岗位资格的主讲教师比例达到</w:t>
      </w:r>
      <w:r>
        <w:rPr>
          <w:rFonts w:ascii="仿宋" w:eastAsia="仿宋" w:hAnsi="仿宋"/>
          <w:sz w:val="30"/>
          <w:szCs w:val="30"/>
        </w:rPr>
        <w:t>85%</w:t>
      </w:r>
      <w:r>
        <w:rPr>
          <w:rFonts w:ascii="仿宋" w:eastAsia="仿宋" w:hAnsi="仿宋" w:hint="eastAsia"/>
          <w:sz w:val="30"/>
          <w:szCs w:val="30"/>
        </w:rPr>
        <w:t>。</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着力培养</w:t>
      </w:r>
      <w:r>
        <w:rPr>
          <w:rFonts w:ascii="仿宋" w:eastAsia="仿宋" w:hAnsi="仿宋" w:hint="eastAsia"/>
          <w:sz w:val="30"/>
          <w:szCs w:val="30"/>
        </w:rPr>
        <w:t>“</w:t>
      </w:r>
      <w:r>
        <w:rPr>
          <w:rFonts w:ascii="仿宋" w:eastAsia="仿宋" w:hAnsi="仿宋" w:hint="eastAsia"/>
          <w:sz w:val="30"/>
          <w:szCs w:val="30"/>
        </w:rPr>
        <w:t>双师双能型</w:t>
      </w:r>
      <w:r>
        <w:rPr>
          <w:rFonts w:ascii="仿宋" w:eastAsia="仿宋" w:hAnsi="仿宋" w:hint="eastAsia"/>
          <w:sz w:val="30"/>
          <w:szCs w:val="30"/>
        </w:rPr>
        <w:t>”</w:t>
      </w:r>
      <w:r>
        <w:rPr>
          <w:rFonts w:ascii="仿宋" w:eastAsia="仿宋" w:hAnsi="仿宋" w:hint="eastAsia"/>
          <w:sz w:val="30"/>
          <w:szCs w:val="30"/>
        </w:rPr>
        <w:t>型教师。学校大力支持和鼓励广大教师参加实践活动，尤其深入企业等。从而提高了</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型教师的比例。使课堂教学与企业实践进一步结合，丰富了教学内容，拓宽了学生的视野，开阔了学生思路，从而提高了教学质量。</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建立健全激励机制。学校加大了人事制度改革的力度，重实绩、重贡献、向关键岗位倾斜，充分调动了教师的积极性。同时完善了各项规章制度，逐步健全完善了教师考核制度、进修培训制度等。</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教学科研水平得到提升。</w:t>
      </w:r>
      <w:r>
        <w:rPr>
          <w:rFonts w:ascii="仿宋" w:eastAsia="仿宋" w:hAnsi="仿宋" w:hint="eastAsia"/>
          <w:sz w:val="30"/>
          <w:szCs w:val="30"/>
        </w:rPr>
        <w:t>“</w:t>
      </w:r>
      <w:r>
        <w:rPr>
          <w:rFonts w:ascii="仿宋" w:eastAsia="仿宋" w:hAnsi="仿宋" w:hint="eastAsia"/>
          <w:sz w:val="30"/>
          <w:szCs w:val="30"/>
        </w:rPr>
        <w:t>十二五</w:t>
      </w:r>
      <w:r>
        <w:rPr>
          <w:rFonts w:ascii="仿宋" w:eastAsia="仿宋" w:hAnsi="仿宋" w:hint="eastAsia"/>
          <w:sz w:val="30"/>
          <w:szCs w:val="30"/>
        </w:rPr>
        <w:t>”</w:t>
      </w:r>
      <w:r>
        <w:rPr>
          <w:rFonts w:ascii="仿宋" w:eastAsia="仿宋" w:hAnsi="仿宋" w:hint="eastAsia"/>
          <w:sz w:val="30"/>
          <w:szCs w:val="30"/>
        </w:rPr>
        <w:t>期间，学校教学、科研取得多项成果。承担科研及教改项目共69项，省级以上专业期刊发表学术论文214篇，发表专著</w:t>
      </w:r>
      <w:r>
        <w:rPr>
          <w:rFonts w:ascii="仿宋" w:eastAsia="仿宋" w:hAnsi="仿宋"/>
          <w:sz w:val="30"/>
          <w:szCs w:val="30"/>
        </w:rPr>
        <w:t>2</w:t>
      </w:r>
      <w:r>
        <w:rPr>
          <w:rFonts w:ascii="仿宋" w:eastAsia="仿宋" w:hAnsi="仿宋" w:hint="eastAsia"/>
          <w:sz w:val="30"/>
          <w:szCs w:val="30"/>
        </w:rPr>
        <w:t>部、译著</w:t>
      </w:r>
      <w:r>
        <w:rPr>
          <w:rFonts w:ascii="仿宋" w:eastAsia="仿宋" w:hAnsi="仿宋"/>
          <w:sz w:val="30"/>
          <w:szCs w:val="30"/>
        </w:rPr>
        <w:t>2</w:t>
      </w:r>
      <w:r>
        <w:rPr>
          <w:rFonts w:ascii="仿宋" w:eastAsia="仿宋" w:hAnsi="仿宋" w:hint="eastAsia"/>
          <w:sz w:val="30"/>
          <w:szCs w:val="30"/>
        </w:rPr>
        <w:t>部，获得国家专利2项；出版内部刊物《河北科技学院报》《教学与研究》《学子军魂》等。形成了良好的教学、科研氛围。</w:t>
      </w:r>
    </w:p>
    <w:p>
      <w:pPr>
        <w:spacing w:line="560" w:lineRule="exact"/>
        <w:ind w:firstLine="600" w:firstLineChars="200"/>
        <w:rPr>
          <w:rFonts w:ascii="楷体" w:eastAsia="楷体" w:hAnsi="楷体" w:cs="楷体"/>
          <w:b/>
          <w:sz w:val="30"/>
          <w:szCs w:val="30"/>
        </w:rPr>
      </w:pPr>
      <w:bookmarkStart w:id="123" w:name="_Toc20167_WPSOffice_Level2"/>
      <w:r>
        <w:rPr>
          <w:rFonts w:ascii="楷体" w:eastAsia="楷体" w:hAnsi="楷体" w:cs="楷体" w:hint="eastAsia"/>
          <w:b/>
          <w:sz w:val="30"/>
          <w:szCs w:val="30"/>
        </w:rPr>
        <w:t>（二）存在的问题</w:t>
      </w:r>
      <w:bookmarkEnd w:id="123"/>
    </w:p>
    <w:p>
      <w:pPr>
        <w:spacing w:line="560" w:lineRule="exact"/>
        <w:ind w:firstLine="600" w:firstLineChars="200"/>
        <w:rPr>
          <w:rFonts w:ascii="仿宋" w:eastAsia="仿宋" w:hAnsi="仿宋"/>
          <w:sz w:val="30"/>
          <w:szCs w:val="30"/>
        </w:rPr>
      </w:pPr>
      <w:r>
        <w:rPr>
          <w:rFonts w:ascii="仿宋" w:eastAsia="仿宋" w:hAnsi="仿宋" w:hint="eastAsia"/>
          <w:sz w:val="30"/>
          <w:szCs w:val="30"/>
        </w:rPr>
        <w:t>部分专业缺少领军人物和优质教师，重点专业的师资力量有待进一步加强；教师的职称结构、年龄结构不尽合理；</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型教师比例偏少，师资队伍学历层次有待提高、学缘结构尚需优化。</w:t>
      </w:r>
    </w:p>
    <w:p>
      <w:pPr>
        <w:spacing w:line="560" w:lineRule="exact"/>
        <w:ind w:firstLine="594" w:firstLineChars="198"/>
        <w:rPr>
          <w:rFonts w:ascii="黑体" w:eastAsia="黑体" w:hAnsi="黑体" w:cs="黑体"/>
          <w:bCs/>
          <w:sz w:val="30"/>
          <w:szCs w:val="30"/>
        </w:rPr>
      </w:pPr>
      <w:bookmarkStart w:id="124" w:name="_Toc21008_WPSOffice_Level1"/>
      <w:r>
        <w:rPr>
          <w:rFonts w:ascii="黑体" w:eastAsia="黑体" w:hAnsi="黑体" w:cs="黑体" w:hint="eastAsia"/>
          <w:bCs/>
          <w:sz w:val="30"/>
          <w:szCs w:val="30"/>
        </w:rPr>
        <w:t>二、</w:t>
      </w:r>
      <w:r>
        <w:rPr>
          <w:rFonts w:ascii="黑体" w:eastAsia="黑体" w:hAnsi="黑体" w:cs="黑体" w:hint="eastAsia"/>
          <w:bCs/>
          <w:sz w:val="30"/>
          <w:szCs w:val="30"/>
        </w:rPr>
        <w:t>“</w:t>
      </w:r>
      <w:r>
        <w:rPr>
          <w:rFonts w:ascii="黑体" w:eastAsia="黑体" w:hAnsi="黑体" w:cs="黑体" w:hint="eastAsia"/>
          <w:bCs/>
          <w:sz w:val="30"/>
          <w:szCs w:val="30"/>
        </w:rPr>
        <w:t>十三五</w:t>
      </w:r>
      <w:r>
        <w:rPr>
          <w:rFonts w:ascii="黑体" w:eastAsia="黑体" w:hAnsi="黑体" w:cs="黑体" w:hint="eastAsia"/>
          <w:bCs/>
          <w:sz w:val="30"/>
          <w:szCs w:val="30"/>
        </w:rPr>
        <w:t>”</w:t>
      </w:r>
      <w:r>
        <w:rPr>
          <w:rFonts w:ascii="黑体" w:eastAsia="黑体" w:hAnsi="黑体" w:cs="黑体" w:hint="eastAsia"/>
          <w:bCs/>
          <w:sz w:val="30"/>
          <w:szCs w:val="30"/>
        </w:rPr>
        <w:t>奋斗目标</w:t>
      </w:r>
      <w:bookmarkEnd w:id="124"/>
    </w:p>
    <w:p>
      <w:pPr>
        <w:spacing w:line="560" w:lineRule="exact"/>
        <w:ind w:firstLine="600" w:firstLineChars="200"/>
        <w:rPr>
          <w:rFonts w:ascii="仿宋" w:eastAsia="仿宋" w:hAnsi="仿宋"/>
          <w:sz w:val="30"/>
          <w:szCs w:val="30"/>
        </w:rPr>
      </w:pPr>
      <w:r>
        <w:rPr>
          <w:rFonts w:ascii="仿宋" w:eastAsia="仿宋" w:hAnsi="仿宋" w:hint="eastAsia"/>
          <w:sz w:val="30"/>
          <w:szCs w:val="30"/>
        </w:rPr>
        <w:t>以应用型本科高校对教师队伍的要求为标准，以全面提高师资队伍素质为目标，以优化教师队伍结构为重点，实施师资培训和高层次人才引进计划，着力于学术带头人和骨干教师队伍的选拔和培养，建立有利于优秀教师脱颖而出的激励机制。力争经过五年努力，建设一支数量充足、结构合理、师德高尚、教育观念新、创新意识强，具有较高教育教学水平和科研能力、较强实践能力、适应应用型人才培养需要的师资队伍。</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到2020 年，教师数量、结构达到教育部规定要求。</w:t>
      </w:r>
    </w:p>
    <w:p>
      <w:pPr>
        <w:spacing w:line="560" w:lineRule="exact"/>
        <w:ind w:firstLine="600" w:firstLineChars="200"/>
        <w:rPr>
          <w:rFonts w:ascii="楷体" w:eastAsia="楷体" w:hAnsi="楷体" w:cs="楷体"/>
          <w:b/>
          <w:sz w:val="30"/>
          <w:szCs w:val="30"/>
        </w:rPr>
      </w:pPr>
      <w:bookmarkStart w:id="125" w:name="_Toc961_WPSOffice_Level2"/>
      <w:r>
        <w:rPr>
          <w:rFonts w:ascii="楷体" w:eastAsia="楷体" w:hAnsi="楷体" w:cs="楷体" w:hint="eastAsia"/>
          <w:b/>
          <w:sz w:val="30"/>
          <w:szCs w:val="30"/>
        </w:rPr>
        <w:t>（一）优化师资队伍结构</w:t>
      </w:r>
      <w:bookmarkEnd w:id="125"/>
    </w:p>
    <w:p>
      <w:pPr>
        <w:spacing w:line="560" w:lineRule="exact"/>
        <w:ind w:firstLine="600" w:firstLineChars="200"/>
        <w:rPr>
          <w:rFonts w:ascii="仿宋" w:eastAsia="仿宋" w:hAnsi="仿宋"/>
          <w:b/>
          <w:bCs/>
          <w:sz w:val="30"/>
          <w:szCs w:val="30"/>
        </w:rPr>
      </w:pPr>
      <w:bookmarkStart w:id="126" w:name="_Toc1550_WPSOffice_Level3"/>
      <w:r>
        <w:rPr>
          <w:rFonts w:ascii="仿宋" w:eastAsia="仿宋" w:hAnsi="仿宋" w:hint="eastAsia"/>
          <w:b/>
          <w:bCs/>
          <w:sz w:val="30"/>
          <w:szCs w:val="30"/>
        </w:rPr>
        <w:t>1.学历结构</w:t>
      </w:r>
      <w:bookmarkEnd w:id="126"/>
    </w:p>
    <w:p>
      <w:pPr>
        <w:spacing w:line="560" w:lineRule="exact"/>
        <w:ind w:firstLine="600" w:firstLineChars="200"/>
        <w:rPr>
          <w:rFonts w:ascii="仿宋" w:eastAsia="仿宋" w:hAnsi="仿宋"/>
          <w:sz w:val="30"/>
          <w:szCs w:val="30"/>
        </w:rPr>
      </w:pPr>
      <w:r>
        <w:rPr>
          <w:rFonts w:ascii="仿宋" w:eastAsia="仿宋" w:hAnsi="仿宋" w:hint="eastAsia"/>
          <w:sz w:val="30"/>
          <w:szCs w:val="30"/>
        </w:rPr>
        <w:t>我院目前专任教师队伍中具有硕士学位以上的教师为30%，青年教师中硕士学位人员占60%。2020 年要使具有硕士及以上学位的教师达到 65%以上。</w:t>
      </w:r>
    </w:p>
    <w:p>
      <w:pPr>
        <w:spacing w:line="560" w:lineRule="exact"/>
        <w:ind w:firstLine="600" w:firstLineChars="200"/>
        <w:rPr>
          <w:rFonts w:ascii="仿宋" w:eastAsia="仿宋" w:hAnsi="仿宋"/>
          <w:b/>
          <w:bCs/>
          <w:sz w:val="30"/>
          <w:szCs w:val="30"/>
        </w:rPr>
      </w:pPr>
      <w:bookmarkStart w:id="127" w:name="_Toc20167_WPSOffice_Level3"/>
      <w:r>
        <w:rPr>
          <w:rFonts w:ascii="仿宋" w:eastAsia="仿宋" w:hAnsi="仿宋" w:hint="eastAsia"/>
          <w:b/>
          <w:bCs/>
          <w:sz w:val="30"/>
          <w:szCs w:val="30"/>
        </w:rPr>
        <w:t>2.职称结构</w:t>
      </w:r>
      <w:bookmarkEnd w:id="127"/>
    </w:p>
    <w:p>
      <w:pPr>
        <w:spacing w:line="560" w:lineRule="exact"/>
        <w:ind w:firstLine="600" w:firstLineChars="200"/>
        <w:rPr>
          <w:rFonts w:ascii="仿宋" w:eastAsia="仿宋" w:hAnsi="仿宋"/>
          <w:sz w:val="30"/>
          <w:szCs w:val="30"/>
        </w:rPr>
      </w:pPr>
      <w:r>
        <w:rPr>
          <w:rFonts w:ascii="仿宋" w:eastAsia="仿宋" w:hAnsi="仿宋" w:hint="eastAsia"/>
          <w:sz w:val="30"/>
          <w:szCs w:val="30"/>
        </w:rPr>
        <w:t>职称结构比例方面，我院专任教师队伍高级职称人员占 20%，中级职称人员占 50%。到 2020 年，专任队伍高级职称人员须达到45%（规定比例）。</w:t>
      </w:r>
    </w:p>
    <w:p>
      <w:pPr>
        <w:spacing w:line="560" w:lineRule="exact"/>
        <w:ind w:firstLine="600" w:firstLineChars="200"/>
        <w:rPr>
          <w:rFonts w:ascii="仿宋" w:eastAsia="仿宋" w:hAnsi="仿宋"/>
          <w:b/>
          <w:bCs/>
          <w:sz w:val="30"/>
          <w:szCs w:val="30"/>
        </w:rPr>
      </w:pPr>
      <w:bookmarkStart w:id="128" w:name="_Toc961_WPSOffice_Level3"/>
      <w:r>
        <w:rPr>
          <w:rFonts w:ascii="仿宋" w:eastAsia="仿宋" w:hAnsi="仿宋" w:hint="eastAsia"/>
          <w:b/>
          <w:bCs/>
          <w:sz w:val="30"/>
          <w:szCs w:val="30"/>
        </w:rPr>
        <w:t>3.学缘结构</w:t>
      </w:r>
      <w:bookmarkEnd w:id="128"/>
    </w:p>
    <w:p>
      <w:pPr>
        <w:spacing w:line="560" w:lineRule="exact"/>
        <w:ind w:firstLine="600" w:firstLineChars="200"/>
        <w:rPr>
          <w:rFonts w:ascii="仿宋" w:eastAsia="仿宋" w:hAnsi="仿宋"/>
          <w:sz w:val="30"/>
          <w:szCs w:val="30"/>
        </w:rPr>
      </w:pPr>
      <w:r>
        <w:rPr>
          <w:rFonts w:ascii="仿宋" w:eastAsia="仿宋" w:hAnsi="仿宋" w:hint="eastAsia"/>
          <w:sz w:val="30"/>
          <w:szCs w:val="30"/>
        </w:rPr>
        <w:t>目前，我校师资主要来源于本省高校毕业生。今后应进一步加大引进不同学校、不同经历的教师数量，每年新增教师中，专业课及专业理论课教师，硕士及以上学位者至少 60%以上为外省院校毕业人员，引进</w:t>
      </w:r>
      <w:r>
        <w:rPr>
          <w:rFonts w:ascii="仿宋" w:eastAsia="仿宋" w:hAnsi="仿宋" w:hint="eastAsia"/>
          <w:sz w:val="30"/>
          <w:szCs w:val="30"/>
        </w:rPr>
        <w:t>“</w:t>
      </w:r>
      <w:r>
        <w:rPr>
          <w:rFonts w:ascii="仿宋" w:eastAsia="仿宋" w:hAnsi="仿宋" w:hint="eastAsia"/>
          <w:sz w:val="30"/>
          <w:szCs w:val="30"/>
        </w:rPr>
        <w:t>985</w:t>
      </w:r>
      <w:r>
        <w:rPr>
          <w:rFonts w:ascii="仿宋" w:eastAsia="仿宋" w:hAnsi="仿宋" w:hint="eastAsia"/>
          <w:sz w:val="30"/>
          <w:szCs w:val="30"/>
        </w:rPr>
        <w:t>”“</w:t>
      </w:r>
      <w:r>
        <w:rPr>
          <w:rFonts w:ascii="仿宋" w:eastAsia="仿宋" w:hAnsi="仿宋" w:hint="eastAsia"/>
          <w:sz w:val="30"/>
          <w:szCs w:val="30"/>
        </w:rPr>
        <w:t>211</w:t>
      </w:r>
      <w:r>
        <w:rPr>
          <w:rFonts w:ascii="仿宋" w:eastAsia="仿宋" w:hAnsi="仿宋" w:hint="eastAsia"/>
          <w:sz w:val="30"/>
          <w:szCs w:val="30"/>
        </w:rPr>
        <w:t>”</w:t>
      </w:r>
      <w:r>
        <w:rPr>
          <w:rFonts w:ascii="仿宋" w:eastAsia="仿宋" w:hAnsi="仿宋" w:hint="eastAsia"/>
          <w:sz w:val="30"/>
          <w:szCs w:val="30"/>
        </w:rPr>
        <w:t>海外学习经历的师资。避免师资队伍</w:t>
      </w:r>
      <w:r>
        <w:rPr>
          <w:rFonts w:ascii="仿宋" w:eastAsia="仿宋" w:hAnsi="仿宋" w:hint="eastAsia"/>
          <w:sz w:val="30"/>
          <w:szCs w:val="30"/>
        </w:rPr>
        <w:t>“</w:t>
      </w:r>
      <w:r>
        <w:rPr>
          <w:rFonts w:ascii="仿宋" w:eastAsia="仿宋" w:hAnsi="仿宋" w:hint="eastAsia"/>
          <w:sz w:val="30"/>
          <w:szCs w:val="30"/>
        </w:rPr>
        <w:t>近亲繁殖</w:t>
      </w:r>
      <w:r>
        <w:rPr>
          <w:rFonts w:ascii="仿宋" w:eastAsia="仿宋" w:hAnsi="仿宋" w:hint="eastAsia"/>
          <w:sz w:val="30"/>
          <w:szCs w:val="30"/>
        </w:rPr>
        <w:t>”</w:t>
      </w:r>
      <w:r>
        <w:rPr>
          <w:rFonts w:ascii="仿宋" w:eastAsia="仿宋" w:hAnsi="仿宋" w:hint="eastAsia"/>
          <w:sz w:val="30"/>
          <w:szCs w:val="30"/>
        </w:rPr>
        <w:t>现象。</w:t>
      </w:r>
    </w:p>
    <w:p>
      <w:pPr>
        <w:spacing w:line="560" w:lineRule="exact"/>
        <w:ind w:firstLine="600" w:firstLineChars="200"/>
        <w:rPr>
          <w:rFonts w:ascii="仿宋" w:eastAsia="仿宋" w:hAnsi="仿宋"/>
          <w:b/>
          <w:bCs/>
          <w:sz w:val="30"/>
          <w:szCs w:val="30"/>
        </w:rPr>
      </w:pPr>
      <w:bookmarkStart w:id="129" w:name="_Toc3936_WPSOffice_Level3"/>
      <w:r>
        <w:rPr>
          <w:rFonts w:ascii="仿宋" w:eastAsia="仿宋" w:hAnsi="仿宋" w:hint="eastAsia"/>
          <w:b/>
          <w:bCs/>
          <w:sz w:val="30"/>
          <w:szCs w:val="30"/>
        </w:rPr>
        <w:t>4.</w:t>
      </w:r>
      <w:r>
        <w:rPr>
          <w:rFonts w:ascii="仿宋" w:eastAsia="仿宋" w:hAnsi="仿宋" w:hint="eastAsia"/>
          <w:b/>
          <w:bCs/>
          <w:sz w:val="30"/>
          <w:szCs w:val="30"/>
        </w:rPr>
        <w:t>“</w:t>
      </w:r>
      <w:r>
        <w:rPr>
          <w:rFonts w:ascii="仿宋" w:eastAsia="仿宋" w:hAnsi="仿宋" w:hint="eastAsia"/>
          <w:b/>
          <w:bCs/>
          <w:sz w:val="30"/>
          <w:szCs w:val="30"/>
        </w:rPr>
        <w:t>双师双能</w:t>
      </w:r>
      <w:r>
        <w:rPr>
          <w:rFonts w:ascii="仿宋" w:eastAsia="仿宋" w:hAnsi="仿宋" w:hint="eastAsia"/>
          <w:b/>
          <w:bCs/>
          <w:sz w:val="30"/>
          <w:szCs w:val="30"/>
        </w:rPr>
        <w:t>”</w:t>
      </w:r>
      <w:r>
        <w:rPr>
          <w:rFonts w:ascii="仿宋" w:eastAsia="仿宋" w:hAnsi="仿宋" w:hint="eastAsia"/>
          <w:b/>
          <w:bCs/>
          <w:sz w:val="30"/>
          <w:szCs w:val="30"/>
        </w:rPr>
        <w:t>型教师</w:t>
      </w:r>
      <w:bookmarkEnd w:id="129"/>
    </w:p>
    <w:p>
      <w:pPr>
        <w:spacing w:line="560" w:lineRule="exact"/>
        <w:ind w:firstLine="600" w:firstLineChars="2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型队伍建设是学校内涵建设的重要组成部分，根据自身特点，对</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型教师进行认定。到2020 年，专业基础课、专业课教师中具备</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型教师比例达到20%以上。</w:t>
      </w:r>
    </w:p>
    <w:p>
      <w:pPr>
        <w:spacing w:line="560" w:lineRule="exact"/>
        <w:ind w:firstLine="600" w:firstLineChars="200"/>
        <w:rPr>
          <w:rFonts w:ascii="楷体" w:eastAsia="楷体" w:hAnsi="楷体" w:cs="楷体"/>
          <w:b/>
          <w:sz w:val="30"/>
          <w:szCs w:val="30"/>
        </w:rPr>
      </w:pPr>
      <w:bookmarkStart w:id="130" w:name="_Toc21008_WPSOffice_Level2"/>
      <w:r>
        <w:rPr>
          <w:rFonts w:ascii="楷体" w:eastAsia="楷体" w:hAnsi="楷体" w:cs="楷体" w:hint="eastAsia"/>
          <w:b/>
          <w:sz w:val="30"/>
          <w:szCs w:val="30"/>
        </w:rPr>
        <w:t>（二）师资队伍素质建设目标</w:t>
      </w:r>
      <w:bookmarkEnd w:id="130"/>
    </w:p>
    <w:p>
      <w:pPr>
        <w:spacing w:line="560" w:lineRule="exact"/>
        <w:ind w:firstLine="600" w:firstLineChars="200"/>
        <w:rPr>
          <w:rFonts w:ascii="仿宋" w:eastAsia="仿宋" w:hAnsi="仿宋"/>
          <w:sz w:val="30"/>
          <w:szCs w:val="30"/>
        </w:rPr>
      </w:pPr>
      <w:r>
        <w:rPr>
          <w:rFonts w:ascii="仿宋" w:eastAsia="仿宋" w:hAnsi="仿宋" w:hint="eastAsia"/>
          <w:sz w:val="30"/>
          <w:szCs w:val="30"/>
        </w:rPr>
        <w:t>加强党建和思想政治工作，使全校教师树立热爱祖国、热爱社会主义的远大理想，爱岗敬业、为人师表，忠诚党的教育事业；在专业知识和教学素质方面有扎实的专业理论知识，有认真、严谨的治学态度，有创新、开放的进取意识，有一定的实践能力，能使用先进的教学手段，达到良好的教学效果。注重教师科研能力培养和专业水平的提高, 支持教师参加科技开发和科技推广，科研、教学相互促进。积极鼓励专业教师尤其青年教师参加省级以上学科比赛、技能比赛等活动，努力打造一支过硬的师资队伍。</w:t>
      </w:r>
    </w:p>
    <w:p>
      <w:pPr>
        <w:spacing w:line="560" w:lineRule="exact"/>
        <w:ind w:firstLine="600" w:firstLineChars="200"/>
        <w:rPr>
          <w:rFonts w:ascii="楷体" w:eastAsia="楷体" w:hAnsi="楷体" w:cs="楷体"/>
          <w:b/>
          <w:sz w:val="30"/>
          <w:szCs w:val="30"/>
        </w:rPr>
      </w:pPr>
      <w:bookmarkStart w:id="131" w:name="_Toc3936_WPSOffice_Level2"/>
      <w:r>
        <w:rPr>
          <w:rFonts w:ascii="楷体" w:eastAsia="楷体" w:hAnsi="楷体" w:cs="楷体" w:hint="eastAsia"/>
          <w:b/>
          <w:sz w:val="30"/>
          <w:szCs w:val="30"/>
        </w:rPr>
        <w:t>（三）教师队伍梯队建设目标</w:t>
      </w:r>
      <w:bookmarkEnd w:id="131"/>
    </w:p>
    <w:p>
      <w:pPr>
        <w:spacing w:line="560" w:lineRule="exact"/>
        <w:ind w:firstLine="600" w:firstLineChars="200"/>
        <w:rPr>
          <w:rFonts w:ascii="仿宋" w:eastAsia="仿宋" w:hAnsi="仿宋"/>
          <w:b/>
          <w:sz w:val="30"/>
          <w:szCs w:val="30"/>
        </w:rPr>
      </w:pPr>
      <w:r>
        <w:rPr>
          <w:rFonts w:ascii="仿宋" w:eastAsia="仿宋" w:hAnsi="仿宋" w:hint="eastAsia"/>
          <w:sz w:val="30"/>
          <w:szCs w:val="30"/>
        </w:rPr>
        <w:t>进一步完善专业带头人培养、聘任办法。建立和完善</w:t>
      </w:r>
      <w:r>
        <w:rPr>
          <w:rFonts w:ascii="仿宋" w:eastAsia="仿宋" w:hAnsi="仿宋" w:hint="eastAsia"/>
          <w:sz w:val="30"/>
          <w:szCs w:val="30"/>
        </w:rPr>
        <w:t>“</w:t>
      </w:r>
      <w:r>
        <w:rPr>
          <w:rFonts w:ascii="仿宋" w:eastAsia="仿宋" w:hAnsi="仿宋" w:hint="eastAsia"/>
          <w:sz w:val="30"/>
          <w:szCs w:val="30"/>
        </w:rPr>
        <w:t>选拔专业带头人</w:t>
      </w:r>
      <w:r>
        <w:rPr>
          <w:rFonts w:ascii="仿宋" w:eastAsia="仿宋" w:hAnsi="仿宋" w:hint="eastAsia"/>
          <w:sz w:val="30"/>
          <w:szCs w:val="30"/>
        </w:rPr>
        <w:t>”“</w:t>
      </w:r>
      <w:r>
        <w:rPr>
          <w:rFonts w:ascii="仿宋" w:eastAsia="仿宋" w:hAnsi="仿宋" w:hint="eastAsia"/>
          <w:sz w:val="30"/>
          <w:szCs w:val="30"/>
        </w:rPr>
        <w:t>选拔中青年教学与科研骨干教师</w:t>
      </w:r>
      <w:r>
        <w:rPr>
          <w:rFonts w:ascii="仿宋" w:eastAsia="仿宋" w:hAnsi="仿宋" w:hint="eastAsia"/>
          <w:sz w:val="30"/>
          <w:szCs w:val="30"/>
        </w:rPr>
        <w:t>”“</w:t>
      </w:r>
      <w:r>
        <w:rPr>
          <w:rFonts w:ascii="仿宋" w:eastAsia="仿宋" w:hAnsi="仿宋" w:hint="eastAsia"/>
          <w:sz w:val="30"/>
          <w:szCs w:val="30"/>
        </w:rPr>
        <w:t>青年教师培养与指导</w:t>
      </w:r>
      <w:r>
        <w:rPr>
          <w:rFonts w:ascii="仿宋" w:eastAsia="仿宋" w:hAnsi="仿宋" w:hint="eastAsia"/>
          <w:sz w:val="30"/>
          <w:szCs w:val="30"/>
        </w:rPr>
        <w:t>”“</w:t>
      </w:r>
      <w:r>
        <w:rPr>
          <w:rFonts w:ascii="仿宋" w:eastAsia="仿宋" w:hAnsi="仿宋" w:hint="eastAsia"/>
          <w:sz w:val="30"/>
          <w:szCs w:val="30"/>
        </w:rPr>
        <w:t>引进高层次人才</w:t>
      </w:r>
      <w:r>
        <w:rPr>
          <w:rFonts w:ascii="仿宋" w:eastAsia="仿宋" w:hAnsi="仿宋" w:hint="eastAsia"/>
          <w:sz w:val="30"/>
          <w:szCs w:val="30"/>
        </w:rPr>
        <w:t>”</w:t>
      </w:r>
      <w:r>
        <w:rPr>
          <w:rFonts w:ascii="仿宋" w:eastAsia="仿宋" w:hAnsi="仿宋" w:hint="eastAsia"/>
          <w:sz w:val="30"/>
          <w:szCs w:val="30"/>
        </w:rPr>
        <w:t xml:space="preserve"> 等各项制度， 全面启动人才梯队建设工程，强化教学科研团队建设。至 2020 年培养引进一批中青年专业骨干，形成合理的教师梯队，使我校师资队伍呈现良好的发展态势。</w:t>
      </w:r>
    </w:p>
    <w:p>
      <w:pPr>
        <w:spacing w:line="560" w:lineRule="exact"/>
        <w:ind w:firstLine="594" w:firstLineChars="198"/>
        <w:rPr>
          <w:rFonts w:ascii="黑体" w:eastAsia="黑体" w:hAnsi="黑体" w:cs="黑体"/>
          <w:bCs/>
          <w:sz w:val="30"/>
          <w:szCs w:val="30"/>
        </w:rPr>
      </w:pPr>
      <w:bookmarkStart w:id="132" w:name="_Toc3936_WPSOffice_Level1"/>
      <w:r>
        <w:rPr>
          <w:rFonts w:ascii="黑体" w:eastAsia="黑体" w:hAnsi="黑体" w:cs="黑体" w:hint="eastAsia"/>
          <w:bCs/>
          <w:sz w:val="30"/>
          <w:szCs w:val="30"/>
        </w:rPr>
        <w:t>三、 具体措施</w:t>
      </w:r>
      <w:bookmarkEnd w:id="132"/>
    </w:p>
    <w:p>
      <w:pPr>
        <w:spacing w:line="560" w:lineRule="exact"/>
        <w:ind w:firstLine="600" w:firstLineChars="200"/>
        <w:rPr>
          <w:rFonts w:ascii="楷体" w:eastAsia="楷体" w:hAnsi="楷体" w:cs="楷体"/>
          <w:b/>
          <w:sz w:val="30"/>
          <w:szCs w:val="30"/>
        </w:rPr>
      </w:pPr>
      <w:bookmarkStart w:id="133" w:name="_Toc20198_WPSOffice_Level2"/>
      <w:r>
        <w:rPr>
          <w:rFonts w:ascii="楷体" w:eastAsia="楷体" w:hAnsi="楷体" w:cs="楷体" w:hint="eastAsia"/>
          <w:b/>
          <w:sz w:val="30"/>
          <w:szCs w:val="30"/>
        </w:rPr>
        <w:t>（一）加强教师队伍的思想政治工作</w:t>
      </w:r>
      <w:bookmarkEnd w:id="133"/>
    </w:p>
    <w:p>
      <w:pPr>
        <w:spacing w:line="560" w:lineRule="exact"/>
        <w:ind w:firstLine="600" w:firstLineChars="200"/>
        <w:rPr>
          <w:rFonts w:ascii="仿宋" w:eastAsia="仿宋" w:hAnsi="仿宋"/>
          <w:b/>
          <w:sz w:val="30"/>
          <w:szCs w:val="30"/>
        </w:rPr>
      </w:pPr>
      <w:r>
        <w:rPr>
          <w:rFonts w:ascii="仿宋" w:eastAsia="仿宋" w:hAnsi="仿宋" w:hint="eastAsia"/>
          <w:sz w:val="30"/>
          <w:szCs w:val="30"/>
        </w:rPr>
        <w:t>加强对教师职业道德的教育，培养教师树立正确的世界观、人生观和价值观，强化教书育人、为人师表、爱岗敬业的责任意识，引导他们全身心的投入到学校的教学科研工作中去。</w:t>
      </w:r>
    </w:p>
    <w:p>
      <w:pPr>
        <w:spacing w:line="560" w:lineRule="exact"/>
        <w:ind w:firstLine="600" w:firstLineChars="200"/>
        <w:rPr>
          <w:rFonts w:ascii="楷体" w:eastAsia="楷体" w:hAnsi="楷体" w:cs="楷体"/>
          <w:b/>
          <w:sz w:val="30"/>
          <w:szCs w:val="30"/>
        </w:rPr>
      </w:pPr>
      <w:bookmarkStart w:id="134" w:name="_Toc6501_WPSOffice_Level2"/>
      <w:r>
        <w:rPr>
          <w:rFonts w:ascii="楷体" w:eastAsia="楷体" w:hAnsi="楷体" w:cs="楷体" w:hint="eastAsia"/>
          <w:b/>
          <w:sz w:val="30"/>
          <w:szCs w:val="30"/>
        </w:rPr>
        <w:t>（二）进一步提高待遇</w:t>
      </w:r>
      <w:bookmarkEnd w:id="134"/>
    </w:p>
    <w:p>
      <w:pPr>
        <w:spacing w:line="560" w:lineRule="exact"/>
        <w:ind w:firstLine="600" w:firstLineChars="200"/>
        <w:rPr>
          <w:rFonts w:ascii="仿宋" w:eastAsia="仿宋" w:hAnsi="仿宋"/>
          <w:sz w:val="30"/>
          <w:szCs w:val="30"/>
        </w:rPr>
      </w:pPr>
      <w:r>
        <w:rPr>
          <w:rFonts w:ascii="仿宋" w:eastAsia="仿宋" w:hAnsi="仿宋" w:hint="eastAsia"/>
          <w:sz w:val="30"/>
          <w:szCs w:val="30"/>
        </w:rPr>
        <w:t>为教师创造良好的工作条件和生活环境，提高教师待遇，确保师资队伍的健康发展。</w:t>
      </w:r>
    </w:p>
    <w:p>
      <w:pPr>
        <w:spacing w:line="560" w:lineRule="exact"/>
        <w:ind w:firstLine="600" w:firstLineChars="200"/>
        <w:rPr>
          <w:rFonts w:ascii="楷体" w:eastAsia="楷体" w:hAnsi="楷体" w:cs="楷体"/>
          <w:b/>
          <w:sz w:val="30"/>
          <w:szCs w:val="30"/>
        </w:rPr>
      </w:pPr>
      <w:bookmarkStart w:id="135" w:name="_Toc4197_WPSOffice_Level2"/>
      <w:r>
        <w:rPr>
          <w:rFonts w:ascii="楷体" w:eastAsia="楷体" w:hAnsi="楷体" w:cs="楷体" w:hint="eastAsia"/>
          <w:b/>
          <w:sz w:val="30"/>
          <w:szCs w:val="30"/>
        </w:rPr>
        <w:t>（三）加快人事制度改革步伐</w:t>
      </w:r>
      <w:bookmarkEnd w:id="135"/>
    </w:p>
    <w:p>
      <w:pPr>
        <w:spacing w:line="560" w:lineRule="exact"/>
        <w:ind w:firstLine="600" w:firstLineChars="200"/>
        <w:rPr>
          <w:rFonts w:ascii="仿宋" w:eastAsia="仿宋" w:hAnsi="仿宋"/>
          <w:b/>
          <w:sz w:val="30"/>
          <w:szCs w:val="30"/>
        </w:rPr>
      </w:pPr>
      <w:r>
        <w:rPr>
          <w:rFonts w:ascii="仿宋" w:eastAsia="仿宋" w:hAnsi="仿宋" w:hint="eastAsia"/>
          <w:sz w:val="30"/>
          <w:szCs w:val="30"/>
        </w:rPr>
        <w:t>通过完善内部管理体制改革和薪酬制度改革，使教师队伍的建设科学化、规范化、制度化。</w:t>
      </w:r>
    </w:p>
    <w:p>
      <w:pPr>
        <w:spacing w:line="560" w:lineRule="exact"/>
        <w:ind w:firstLine="600" w:firstLineChars="200"/>
        <w:rPr>
          <w:rFonts w:ascii="仿宋" w:eastAsia="仿宋" w:hAnsi="仿宋"/>
          <w:b/>
          <w:sz w:val="30"/>
          <w:szCs w:val="30"/>
        </w:rPr>
      </w:pPr>
      <w:r>
        <w:rPr>
          <w:rFonts w:ascii="仿宋" w:eastAsia="仿宋" w:hAnsi="仿宋" w:hint="eastAsia"/>
          <w:sz w:val="30"/>
          <w:szCs w:val="30"/>
        </w:rPr>
        <w:t>1.本着突出重点、兼顾一般的原则，科学、合理地搞好各学科的岗位设置和岗位聘任。采取引进、外聘等不同的方式，进一步优化师资队伍结构。</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2.坚持公正、客观、全面的原则，奖优罚劣，搞活内部分配机制，提高教师队伍工作积极性。</w:t>
      </w:r>
    </w:p>
    <w:p>
      <w:pPr>
        <w:spacing w:line="560" w:lineRule="exact"/>
        <w:ind w:firstLine="600" w:firstLineChars="200"/>
        <w:rPr>
          <w:rFonts w:ascii="仿宋" w:eastAsia="仿宋" w:hAnsi="仿宋"/>
          <w:sz w:val="30"/>
          <w:szCs w:val="30"/>
        </w:rPr>
      </w:pPr>
      <w:r>
        <w:rPr>
          <w:rFonts w:ascii="仿宋" w:eastAsia="仿宋" w:hAnsi="仿宋" w:hint="eastAsia"/>
          <w:sz w:val="30"/>
          <w:szCs w:val="30"/>
        </w:rPr>
        <w:t>3.对在现岗位任职期间教学科研做出突出成绩者，要给予鼓励，并根据需要和其实际水平低职高聘；对在现岗位上不能履行职责或违反校纪校规的要及时批评教育或高职低聘，经批评教育仍不改正者按规定予以解聘。</w:t>
      </w:r>
    </w:p>
    <w:p>
      <w:pPr>
        <w:spacing w:line="560" w:lineRule="exact"/>
        <w:ind w:firstLine="600" w:firstLineChars="200"/>
        <w:rPr>
          <w:rFonts w:ascii="楷体" w:eastAsia="楷体" w:hAnsi="楷体" w:cs="楷体"/>
          <w:b/>
          <w:sz w:val="30"/>
          <w:szCs w:val="30"/>
        </w:rPr>
      </w:pPr>
      <w:bookmarkStart w:id="136" w:name="_Toc4826_WPSOffice_Level2"/>
      <w:r>
        <w:rPr>
          <w:rFonts w:ascii="楷体" w:eastAsia="楷体" w:hAnsi="楷体" w:cs="楷体" w:hint="eastAsia"/>
          <w:b/>
          <w:sz w:val="30"/>
          <w:szCs w:val="30"/>
        </w:rPr>
        <w:t>（四）进一步完善、健全制度</w:t>
      </w:r>
      <w:bookmarkEnd w:id="136"/>
    </w:p>
    <w:p>
      <w:pPr>
        <w:spacing w:line="560" w:lineRule="exact"/>
        <w:ind w:firstLine="600" w:firstLineChars="200"/>
        <w:rPr>
          <w:rFonts w:ascii="仿宋" w:eastAsia="仿宋" w:hAnsi="仿宋"/>
          <w:b/>
          <w:sz w:val="30"/>
          <w:szCs w:val="30"/>
        </w:rPr>
      </w:pPr>
      <w:r>
        <w:rPr>
          <w:rFonts w:ascii="仿宋" w:eastAsia="仿宋" w:hAnsi="仿宋" w:hint="eastAsia"/>
          <w:sz w:val="30"/>
          <w:szCs w:val="30"/>
        </w:rPr>
        <w:t>进一步完善专业技术职务任职资格量化评审制度，建立健全科学有效的人才评价机制。突出业绩，鼓励公平竞争，促使教师队伍中的优秀人才脱颖而出。</w:t>
      </w:r>
    </w:p>
    <w:p>
      <w:pPr>
        <w:spacing w:line="560" w:lineRule="exact"/>
        <w:ind w:firstLine="600" w:firstLineChars="200"/>
        <w:rPr>
          <w:rFonts w:ascii="楷体" w:eastAsia="楷体" w:hAnsi="楷体" w:cs="楷体"/>
          <w:b/>
          <w:sz w:val="30"/>
          <w:szCs w:val="30"/>
        </w:rPr>
      </w:pPr>
      <w:bookmarkStart w:id="137" w:name="_Toc21578_WPSOffice_Level2"/>
      <w:r>
        <w:rPr>
          <w:rFonts w:ascii="楷体" w:eastAsia="楷体" w:hAnsi="楷体" w:cs="楷体" w:hint="eastAsia"/>
          <w:b/>
          <w:sz w:val="30"/>
          <w:szCs w:val="30"/>
        </w:rPr>
        <w:t>（五）加大人才培养和引进力度</w:t>
      </w:r>
      <w:bookmarkEnd w:id="137"/>
    </w:p>
    <w:p>
      <w:pPr>
        <w:spacing w:line="560" w:lineRule="exact"/>
        <w:ind w:firstLine="600" w:firstLineChars="200"/>
        <w:rPr>
          <w:rFonts w:ascii="仿宋" w:eastAsia="仿宋" w:hAnsi="仿宋"/>
          <w:b/>
          <w:sz w:val="30"/>
          <w:szCs w:val="30"/>
        </w:rPr>
      </w:pPr>
      <w:r>
        <w:rPr>
          <w:rFonts w:ascii="仿宋" w:eastAsia="仿宋" w:hAnsi="仿宋" w:hint="eastAsia"/>
          <w:sz w:val="30"/>
          <w:szCs w:val="30"/>
        </w:rPr>
        <w:t>采取引进高水平专业带头人和培养中青年骨干教师相结合的途径，在抓好引进工作的同时，立足我校实际，加大自身培养力度。提高专业带头人的待遇，吸引有真才实学的专家、学者以专、 兼职等多种形式到我校任教。设立学校人才基金，为人才引进提供资金支持。要继续下大力气支持教师在职或脱产攻读研究生。做到政策留人、事业留人、待遇留人、感情留人。</w:t>
      </w:r>
    </w:p>
    <w:p>
      <w:pPr>
        <w:spacing w:line="560" w:lineRule="exact"/>
        <w:ind w:firstLine="600" w:firstLineChars="200"/>
        <w:rPr>
          <w:rFonts w:ascii="楷体" w:eastAsia="楷体" w:hAnsi="楷体" w:cs="楷体"/>
          <w:b/>
          <w:sz w:val="30"/>
          <w:szCs w:val="30"/>
        </w:rPr>
      </w:pPr>
      <w:bookmarkStart w:id="138" w:name="_Toc30721_WPSOffice_Level2"/>
      <w:r>
        <w:rPr>
          <w:rFonts w:ascii="楷体" w:eastAsia="楷体" w:hAnsi="楷体" w:cs="楷体" w:hint="eastAsia"/>
          <w:b/>
          <w:sz w:val="30"/>
          <w:szCs w:val="30"/>
        </w:rPr>
        <w:t>（六）抓好青年教师队伍建设</w:t>
      </w:r>
      <w:bookmarkEnd w:id="138"/>
    </w:p>
    <w:p>
      <w:pPr>
        <w:spacing w:line="560" w:lineRule="exact"/>
        <w:ind w:firstLine="600" w:firstLineChars="200"/>
        <w:rPr>
          <w:rFonts w:ascii="仿宋" w:eastAsia="仿宋" w:hAnsi="仿宋"/>
          <w:b/>
          <w:sz w:val="30"/>
          <w:szCs w:val="30"/>
        </w:rPr>
      </w:pPr>
      <w:r>
        <w:rPr>
          <w:rFonts w:ascii="仿宋" w:eastAsia="仿宋" w:hAnsi="仿宋" w:hint="eastAsia"/>
          <w:sz w:val="30"/>
          <w:szCs w:val="30"/>
        </w:rPr>
        <w:t>建立青年教师导师制，选派优秀的中青年专业骨干对他们在职业道德、专业理论、教学技能等方面进行专人培养。通过</w:t>
      </w:r>
      <w:r>
        <w:rPr>
          <w:rFonts w:ascii="仿宋" w:eastAsia="仿宋" w:hAnsi="仿宋" w:hint="eastAsia"/>
          <w:sz w:val="30"/>
          <w:szCs w:val="30"/>
        </w:rPr>
        <w:t>“</w:t>
      </w:r>
      <w:r>
        <w:rPr>
          <w:rFonts w:ascii="仿宋" w:eastAsia="仿宋" w:hAnsi="仿宋" w:hint="eastAsia"/>
          <w:sz w:val="30"/>
          <w:szCs w:val="30"/>
        </w:rPr>
        <w:t>传、帮、带</w:t>
      </w:r>
      <w:r>
        <w:rPr>
          <w:rFonts w:ascii="仿宋" w:eastAsia="仿宋" w:hAnsi="仿宋" w:hint="eastAsia"/>
          <w:sz w:val="30"/>
          <w:szCs w:val="30"/>
        </w:rPr>
        <w:t>”</w:t>
      </w:r>
      <w:r>
        <w:rPr>
          <w:rFonts w:ascii="仿宋" w:eastAsia="仿宋" w:hAnsi="仿宋" w:hint="eastAsia"/>
          <w:sz w:val="30"/>
          <w:szCs w:val="30"/>
        </w:rPr>
        <w:t>的形式使他们尽快成长起来。不断提高青年教师从事科研和教学的能力。注重对青年教师中比较优秀的专业教师的培养，从多渠道、多形式、多方位给他们锻炼、实践的机会，使青年教师既能灵活地运用现代教学方法、教学手段，形成自己独特的教学风格，又具有丰富实践经验的</w:t>
      </w:r>
      <w:r>
        <w:rPr>
          <w:rFonts w:ascii="仿宋" w:eastAsia="仿宋" w:hAnsi="仿宋" w:hint="eastAsia"/>
          <w:sz w:val="30"/>
          <w:szCs w:val="30"/>
        </w:rPr>
        <w:t>“</w:t>
      </w:r>
      <w:r>
        <w:rPr>
          <w:rFonts w:ascii="仿宋" w:eastAsia="仿宋" w:hAnsi="仿宋" w:hint="eastAsia"/>
          <w:sz w:val="30"/>
          <w:szCs w:val="30"/>
        </w:rPr>
        <w:t>双师双能</w:t>
      </w:r>
      <w:r>
        <w:rPr>
          <w:rFonts w:ascii="仿宋" w:eastAsia="仿宋" w:hAnsi="仿宋" w:hint="eastAsia"/>
          <w:sz w:val="30"/>
          <w:szCs w:val="30"/>
        </w:rPr>
        <w:t>”</w:t>
      </w:r>
      <w:r>
        <w:rPr>
          <w:rFonts w:ascii="仿宋" w:eastAsia="仿宋" w:hAnsi="仿宋" w:hint="eastAsia"/>
          <w:sz w:val="30"/>
          <w:szCs w:val="30"/>
        </w:rPr>
        <w:t>型教师。</w:t>
      </w:r>
    </w:p>
    <w:p>
      <w:pPr>
        <w:spacing w:line="560" w:lineRule="exact"/>
        <w:ind w:firstLine="600" w:firstLineChars="200"/>
        <w:rPr>
          <w:b/>
          <w:sz w:val="30"/>
          <w:szCs w:val="30"/>
        </w:rPr>
      </w:pPr>
      <w:bookmarkStart w:id="139" w:name="_Toc24880_WPSOffice_Level2"/>
      <w:r>
        <w:rPr>
          <w:rFonts w:ascii="楷体" w:eastAsia="楷体" w:hAnsi="楷体" w:cs="楷体" w:hint="eastAsia"/>
          <w:b/>
          <w:sz w:val="30"/>
          <w:szCs w:val="30"/>
        </w:rPr>
        <w:t>（七）加强专业带头人和骨干教师的选拔和培养</w:t>
      </w:r>
      <w:bookmarkEnd w:id="139"/>
    </w:p>
    <w:p>
      <w:pPr>
        <w:spacing w:line="560" w:lineRule="exact"/>
        <w:ind w:firstLine="600" w:firstLineChars="200"/>
        <w:rPr>
          <w:rFonts w:ascii="仿宋" w:eastAsia="仿宋" w:hAnsi="仿宋"/>
          <w:b/>
          <w:sz w:val="30"/>
          <w:szCs w:val="30"/>
        </w:rPr>
      </w:pPr>
      <w:r>
        <w:rPr>
          <w:rFonts w:ascii="仿宋" w:eastAsia="仿宋" w:hAnsi="仿宋" w:hint="eastAsia"/>
          <w:sz w:val="30"/>
          <w:szCs w:val="30"/>
        </w:rPr>
        <w:t>选拔一批学术造诣较高、治学严谨、师德优良、在业内具有一定影响力的教师担任专业带头人。加强骨干教师的培养。鼓励和支持专业带头人、骨干教师开展学术交流。邀请国内外相关专家学者来校讲学或任客座教授，扩大对外合作的范围和领域。创造条件选拔骨干教师到国内外知名高校访学培养。</w:t>
      </w:r>
    </w:p>
    <w:p>
      <w:pPr>
        <w:spacing w:line="560" w:lineRule="exact"/>
        <w:ind w:firstLine="600" w:firstLineChars="200"/>
        <w:rPr>
          <w:rFonts w:ascii="楷体" w:eastAsia="楷体" w:hAnsi="楷体" w:cs="楷体"/>
          <w:b/>
          <w:sz w:val="30"/>
          <w:szCs w:val="30"/>
        </w:rPr>
      </w:pPr>
      <w:bookmarkStart w:id="140" w:name="_Toc10217_WPSOffice_Level2"/>
      <w:r>
        <w:rPr>
          <w:rFonts w:ascii="楷体" w:eastAsia="楷体" w:hAnsi="楷体" w:cs="楷体" w:hint="eastAsia"/>
          <w:b/>
          <w:sz w:val="30"/>
          <w:szCs w:val="30"/>
        </w:rPr>
        <w:t>（八）经费投入</w:t>
      </w:r>
      <w:bookmarkEnd w:id="140"/>
    </w:p>
    <w:p>
      <w:pPr>
        <w:spacing w:line="560" w:lineRule="exact"/>
        <w:ind w:firstLine="600" w:firstLineChars="200"/>
        <w:rPr>
          <w:rFonts w:ascii="仿宋" w:eastAsia="仿宋" w:hAnsi="仿宋"/>
          <w:sz w:val="30"/>
          <w:szCs w:val="30"/>
        </w:rPr>
      </w:pPr>
      <w:r>
        <w:rPr>
          <w:rFonts w:ascii="仿宋" w:eastAsia="仿宋" w:hAnsi="仿宋" w:hint="eastAsia"/>
          <w:sz w:val="30"/>
          <w:szCs w:val="30"/>
        </w:rPr>
        <w:t>为保证人才的引进与培养工作，学校要投入足够经费。在财务预算中建立人才培养基金、学术交流经费、科研启动费等专项支出帐户，定期拨付，专款专用。</w:t>
      </w:r>
    </w:p>
    <w:p>
      <w:pPr>
        <w:spacing w:line="520" w:lineRule="exact"/>
        <w:ind w:firstLine="3900" w:firstLineChars="1300"/>
        <w:rPr>
          <w:rFonts w:ascii="仿宋" w:eastAsia="仿宋" w:hAnsi="仿宋" w:cs="仿宋"/>
          <w:sz w:val="30"/>
          <w:szCs w:val="30"/>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sectPr>
          <w:headerReference w:type="default" r:id="rId31"/>
          <w:footerReference w:type="default" r:id="rId32"/>
          <w:type w:val="continuous"/>
          <w:pgSz w:w="11906" w:h="16838"/>
          <w:pgMar w:top="1418" w:right="1418" w:bottom="1418" w:left="1418" w:header="851" w:footer="992" w:gutter="0"/>
          <w:cols w:space="708"/>
          <w:docGrid w:type="lines" w:linePitch="312" w:charSpace="0"/>
        </w:sectPr>
      </w:pPr>
    </w:p>
    <w:p>
      <w:pPr>
        <w:widowControl/>
        <w:spacing w:line="480" w:lineRule="exact"/>
        <w:rPr>
          <w:rFonts w:ascii="宋体" w:hAnsi="宋体" w:cs="宋体"/>
          <w:b/>
          <w:bCs/>
          <w:kern w:val="0"/>
          <w:sz w:val="36"/>
          <w:szCs w:val="36"/>
        </w:rPr>
      </w:pPr>
    </w:p>
    <w:p>
      <w:pPr>
        <w:spacing w:line="360" w:lineRule="auto"/>
        <w:rPr>
          <w:rFonts w:ascii="方正黄草简体" w:eastAsia="方正黄草简体" w:hAnsi="Times New Roman" w:cs="Times New Roman"/>
          <w:sz w:val="36"/>
          <w:szCs w:val="36"/>
        </w:rPr>
      </w:pPr>
      <w:r>
        <w:rPr>
          <w:rFonts w:ascii="方正黄草简体" w:eastAsia="方正黄草简体" w:hAnsi="华文楷体"/>
          <w:sz w:val="72"/>
          <w:szCs w:val="72"/>
        </w:rPr>
        <w:pict>
          <v:shape id="图片 7" o:spid="_x0000_s1030" type="#_x0000_t75" alt="H:\合格评估\河北科技学院合格评估院长报告、领导致辞\校徽1.png" style="width:78.65pt;height:68.2pt;margin-top:30.6pt;margin-left:28.3pt;mso-wrap-distance-left:5.65pt;mso-wrap-distance-right:2.85pt;position:absolute;z-index:251663360" o:preferrelative="t" filled="f" stroked="f">
            <v:fill o:detectmouseclick="t"/>
            <v:imagedata r:id="rId10" o:title="H:\合格评估\河北科技学院合格评估院长报告、领导致辞\校徽1.png"/>
            <v:path o:extrusionok="f"/>
            <o:lock v:ext="edit" aspectratio="t"/>
            <w10:wrap type="square"/>
          </v:shape>
        </w:pict>
      </w:r>
    </w:p>
    <w:p>
      <w:pPr>
        <w:spacing w:before="312" w:beforeLines="100" w:line="360" w:lineRule="auto"/>
        <w:rPr>
          <w:rFonts w:ascii="方正黄草简体" w:eastAsia="方正黄草简体" w:hAnsi="Times New Roman" w:cs="Times New Roman"/>
          <w:sz w:val="52"/>
          <w:szCs w:val="52"/>
        </w:rPr>
      </w:pPr>
      <w:r>
        <w:rPr>
          <w:rFonts w:ascii="方正黄草简体" w:eastAsia="方正黄草简体" w:hAnsi="Times New Roman" w:cs="Times New Roman" w:hint="eastAsia"/>
          <w:sz w:val="52"/>
          <w:szCs w:val="52"/>
        </w:rPr>
        <w:t>河北科技学院</w:t>
      </w:r>
    </w:p>
    <w:p>
      <w:pPr>
        <w:spacing w:line="360" w:lineRule="auto"/>
        <w:rPr>
          <w:rFonts w:ascii="宋体" w:eastAsia="宋体" w:hAnsi="宋体" w:cs="Times New Roman"/>
          <w:b/>
          <w:sz w:val="52"/>
          <w:szCs w:val="52"/>
        </w:rPr>
      </w:pPr>
    </w:p>
    <w:p>
      <w:pPr>
        <w:spacing w:line="360" w:lineRule="auto"/>
        <w:jc w:val="center"/>
        <w:rPr>
          <w:rFonts w:ascii="微软雅黑" w:eastAsia="微软雅黑" w:hAnsi="微软雅黑" w:cs="Times New Roman"/>
          <w:b/>
          <w:sz w:val="72"/>
          <w:szCs w:val="72"/>
        </w:rPr>
      </w:pPr>
      <w:r>
        <w:rPr>
          <w:rFonts w:ascii="微软雅黑" w:eastAsia="微软雅黑" w:hAnsi="微软雅黑" w:cs="Times New Roman" w:hint="eastAsia"/>
          <w:b/>
          <w:sz w:val="72"/>
          <w:szCs w:val="72"/>
        </w:rPr>
        <w:t>“</w:t>
      </w:r>
      <w:r>
        <w:rPr>
          <w:rFonts w:ascii="微软雅黑" w:eastAsia="微软雅黑" w:hAnsi="微软雅黑" w:cs="Times New Roman" w:hint="eastAsia"/>
          <w:b/>
          <w:sz w:val="72"/>
          <w:szCs w:val="72"/>
        </w:rPr>
        <w:t>十三五</w:t>
      </w:r>
      <w:r>
        <w:rPr>
          <w:rFonts w:ascii="微软雅黑" w:eastAsia="微软雅黑" w:hAnsi="微软雅黑" w:cs="Times New Roman" w:hint="eastAsia"/>
          <w:b/>
          <w:sz w:val="72"/>
          <w:szCs w:val="72"/>
        </w:rPr>
        <w:t>”</w:t>
      </w:r>
      <w:r>
        <w:rPr>
          <w:rFonts w:ascii="微软雅黑" w:eastAsia="微软雅黑" w:hAnsi="微软雅黑" w:cs="Times New Roman" w:hint="eastAsia"/>
          <w:b/>
          <w:sz w:val="72"/>
          <w:szCs w:val="72"/>
        </w:rPr>
        <w:t>校园建设规划</w:t>
      </w:r>
    </w:p>
    <w:p>
      <w:pPr>
        <w:ind w:left="2"/>
        <w:jc w:val="center"/>
        <w:rPr>
          <w:rFonts w:ascii="Times New Roman" w:eastAsia="宋体" w:hAnsi="Times New Roman" w:cs="Times New Roman"/>
          <w:sz w:val="52"/>
          <w:szCs w:val="52"/>
        </w:rPr>
      </w:pPr>
      <w:r>
        <w:rPr>
          <w:rFonts w:ascii="Times New Roman" w:eastAsia="宋体" w:hAnsi="宋体" w:cs="Times New Roman"/>
          <w:sz w:val="52"/>
          <w:szCs w:val="52"/>
        </w:rPr>
        <w:t>（</w:t>
      </w:r>
      <w:r>
        <w:rPr>
          <w:rFonts w:ascii="Times New Roman" w:eastAsia="宋体" w:hAnsi="Times New Roman" w:cs="Times New Roman"/>
          <w:sz w:val="52"/>
          <w:szCs w:val="52"/>
        </w:rPr>
        <w:t>2016-2020</w:t>
      </w:r>
      <w:r>
        <w:rPr>
          <w:rFonts w:ascii="Times New Roman" w:eastAsia="宋体" w:hAnsi="宋体" w:cs="Times New Roman" w:hint="eastAsia"/>
          <w:sz w:val="52"/>
          <w:szCs w:val="52"/>
        </w:rPr>
        <w:t>）</w:t>
      </w: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ind w:firstLine="160" w:firstLineChars="50"/>
        <w:jc w:val="center"/>
        <w:rPr>
          <w:rFonts w:ascii="仿宋" w:eastAsia="仿宋" w:hAnsi="仿宋" w:cs="Times New Roman"/>
          <w:b/>
          <w:sz w:val="32"/>
          <w:szCs w:val="32"/>
        </w:rPr>
      </w:pPr>
    </w:p>
    <w:p>
      <w:pPr>
        <w:spacing w:line="360" w:lineRule="auto"/>
        <w:rPr>
          <w:rFonts w:ascii="仿宋" w:eastAsia="仿宋" w:hAnsi="仿宋" w:cs="Times New Roman"/>
          <w:b/>
          <w:sz w:val="32"/>
          <w:szCs w:val="32"/>
        </w:rPr>
      </w:pPr>
    </w:p>
    <w:p>
      <w:pPr>
        <w:spacing w:line="480" w:lineRule="exact"/>
        <w:jc w:val="center"/>
        <w:rPr>
          <w:rFonts w:ascii="仿宋_GB2312" w:eastAsia="仿宋_GB2312" w:hAnsi="Times New Roman" w:cs="仿宋_GB2312"/>
          <w:b/>
          <w:sz w:val="36"/>
          <w:szCs w:val="36"/>
        </w:rPr>
        <w:sectPr>
          <w:footerReference w:type="default" r:id="rId33"/>
          <w:pgSz w:w="11906" w:h="16838"/>
          <w:pgMar w:top="1418" w:right="1418" w:bottom="1418" w:left="1418" w:header="851" w:footer="992" w:gutter="0"/>
          <w:cols w:space="708"/>
          <w:docGrid w:type="lines" w:linePitch="312" w:charSpace="0"/>
        </w:sectPr>
      </w:pPr>
      <w:r>
        <w:rPr>
          <w:rFonts w:ascii="仿宋_GB2312" w:eastAsia="仿宋_GB2312" w:hAnsi="Times New Roman" w:cs="仿宋_GB2312" w:hint="eastAsia"/>
          <w:b/>
          <w:sz w:val="36"/>
          <w:szCs w:val="36"/>
        </w:rPr>
        <w:t>校园建设规划组</w:t>
      </w:r>
    </w:p>
    <w:p>
      <w:pPr>
        <w:spacing w:line="480" w:lineRule="exact"/>
        <w:jc w:val="center"/>
        <w:rPr>
          <w:rFonts w:ascii="仿宋_GB2312" w:eastAsia="仿宋_GB2312" w:hAnsi="Times New Roman" w:cs="仿宋_GB2312"/>
          <w:b/>
          <w:sz w:val="36"/>
          <w:szCs w:val="36"/>
        </w:rPr>
      </w:pPr>
      <w:r>
        <w:rPr>
          <w:rFonts w:ascii="Times New Roman" w:eastAsia="宋体" w:hAnsi="Times New Roman" w:cs="Times New Roman" w:hint="eastAsia"/>
          <w:b/>
          <w:sz w:val="36"/>
          <w:szCs w:val="36"/>
        </w:rPr>
        <w:t>目  录</w:t>
      </w:r>
    </w:p>
    <w:p>
      <w:pPr>
        <w:spacing w:line="520" w:lineRule="exact"/>
        <w:rPr>
          <w:rFonts w:ascii="Times New Roman" w:eastAsia="宋体" w:hAnsi="Times New Roman" w:cs="Times New Roman"/>
          <w:sz w:val="28"/>
          <w:szCs w:val="28"/>
        </w:rPr>
      </w:pPr>
    </w:p>
    <w:p>
      <w:pPr>
        <w:tabs>
          <w:tab w:val="right" w:leader="dot" w:pos="9060"/>
        </w:tabs>
        <w:spacing w:line="360" w:lineRule="auto"/>
        <w:outlineLvl w:val="2"/>
        <w:rPr>
          <w:rFonts w:ascii="Calibri" w:eastAsia="宋体" w:hAnsi="Calibri" w:cs="Times New Roman"/>
          <w:sz w:val="28"/>
          <w:szCs w:val="28"/>
        </w:rPr>
      </w:pPr>
      <w:r>
        <w:rPr>
          <w:rFonts w:ascii="仿宋_GB2312" w:eastAsia="仿宋_GB2312" w:hAnsi="仿宋" w:cs="Times New Roman"/>
          <w:sz w:val="28"/>
          <w:szCs w:val="28"/>
        </w:rPr>
        <w:fldChar w:fldCharType="begin"/>
      </w:r>
      <w:r>
        <w:rPr>
          <w:rFonts w:ascii="仿宋_GB2312" w:eastAsia="仿宋_GB2312" w:hAnsi="仿宋" w:cs="Times New Roman"/>
          <w:sz w:val="28"/>
          <w:szCs w:val="28"/>
        </w:rPr>
        <w:instrText xml:space="preserve"> </w:instrText>
      </w:r>
      <w:r>
        <w:rPr>
          <w:rFonts w:ascii="仿宋_GB2312" w:eastAsia="仿宋_GB2312" w:hAnsi="仿宋" w:cs="Times New Roman" w:hint="eastAsia"/>
          <w:sz w:val="28"/>
          <w:szCs w:val="28"/>
        </w:rPr>
        <w:instrText>TOC \h \z \u \t "标题 3,1,标题 4,2"</w:instrText>
      </w:r>
      <w:r>
        <w:rPr>
          <w:rFonts w:ascii="仿宋_GB2312" w:eastAsia="仿宋_GB2312" w:hAnsi="仿宋" w:cs="Times New Roman"/>
          <w:sz w:val="28"/>
          <w:szCs w:val="28"/>
        </w:rPr>
        <w:instrText xml:space="preserve"> </w:instrText>
      </w:r>
      <w:r>
        <w:rPr>
          <w:rFonts w:ascii="仿宋_GB2312" w:eastAsia="仿宋_GB2312" w:hAnsi="仿宋" w:cs="Times New Roman"/>
          <w:sz w:val="28"/>
          <w:szCs w:val="28"/>
        </w:rPr>
        <w:fldChar w:fldCharType="separate"/>
      </w:r>
      <w:hyperlink w:anchor="_Toc476822497" w:history="1">
        <w:r>
          <w:rPr>
            <w:rFonts w:ascii="Times New Roman" w:eastAsia="宋体" w:hAnsi="Times New Roman" w:cs="Times New Roman" w:hint="eastAsia"/>
            <w:sz w:val="28"/>
            <w:szCs w:val="28"/>
          </w:rPr>
          <w:t>一、发展基础</w:t>
        </w:r>
        <w:r>
          <w:rPr>
            <w:rFonts w:ascii="Times New Roman" w:eastAsia="宋体" w:hAnsi="Times New Roman" w:cs="Times New Roman"/>
            <w:sz w:val="28"/>
            <w:szCs w:val="28"/>
          </w:rPr>
          <w:tab/>
        </w:r>
      </w:hyperlink>
      <w:r>
        <w:rPr>
          <w:rFonts w:ascii="Times New Roman" w:eastAsia="宋体" w:hAnsi="Times New Roman" w:cs="Times New Roman" w:hint="eastAsia"/>
          <w:sz w:val="28"/>
          <w:szCs w:val="28"/>
        </w:rPr>
        <w:t>35</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498" w:history="1">
        <w:r>
          <w:rPr>
            <w:rFonts w:ascii="Times New Roman" w:eastAsia="仿宋_GB2312" w:hAnsi="Times New Roman" w:cs="Times New Roman" w:hint="eastAsia"/>
            <w:sz w:val="28"/>
            <w:szCs w:val="28"/>
          </w:rPr>
          <w:t>（一）发展现状</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35</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499" w:history="1">
        <w:r>
          <w:rPr>
            <w:rFonts w:ascii="Times New Roman" w:eastAsia="仿宋_GB2312" w:hAnsi="Times New Roman" w:cs="Times New Roman" w:hint="eastAsia"/>
            <w:sz w:val="28"/>
            <w:szCs w:val="28"/>
          </w:rPr>
          <w:t>（二）存在问题</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36</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0" w:history="1">
        <w:r>
          <w:rPr>
            <w:rFonts w:ascii="Times New Roman" w:eastAsia="仿宋_GB2312" w:hAnsi="Times New Roman" w:cs="Times New Roman" w:hint="eastAsia"/>
            <w:sz w:val="28"/>
            <w:szCs w:val="28"/>
          </w:rPr>
          <w:t>（三）制定本规划的依据和背景</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3</w:t>
        </w:r>
      </w:hyperlink>
      <w:r>
        <w:rPr>
          <w:rFonts w:ascii="Times New Roman" w:eastAsia="仿宋_GB2312" w:hAnsi="Times New Roman" w:cs="Times New Roman" w:hint="eastAsia"/>
          <w:sz w:val="28"/>
          <w:szCs w:val="28"/>
        </w:rPr>
        <w:t>6</w:t>
      </w:r>
    </w:p>
    <w:p>
      <w:pPr>
        <w:tabs>
          <w:tab w:val="right" w:leader="dot" w:pos="9060"/>
        </w:tabs>
        <w:spacing w:line="360" w:lineRule="auto"/>
        <w:outlineLvl w:val="2"/>
        <w:rPr>
          <w:rFonts w:ascii="Calibri" w:eastAsia="宋体" w:hAnsi="Calibri" w:cs="Times New Roman"/>
          <w:sz w:val="28"/>
          <w:szCs w:val="28"/>
        </w:rPr>
      </w:pPr>
      <w:hyperlink w:anchor="_Toc476822501" w:history="1">
        <w:r>
          <w:rPr>
            <w:rFonts w:ascii="Times New Roman" w:eastAsia="宋体" w:hAnsi="Times New Roman" w:cs="Times New Roman" w:hint="eastAsia"/>
            <w:sz w:val="28"/>
            <w:szCs w:val="28"/>
          </w:rPr>
          <w:t>二、指导思想和基本原则</w:t>
        </w:r>
        <w:r>
          <w:rPr>
            <w:rFonts w:ascii="Times New Roman" w:eastAsia="宋体" w:hAnsi="Times New Roman" w:cs="Times New Roman"/>
            <w:sz w:val="28"/>
            <w:szCs w:val="28"/>
          </w:rPr>
          <w:tab/>
        </w:r>
        <w:r>
          <w:rPr>
            <w:rFonts w:ascii="Times New Roman" w:eastAsia="宋体" w:hAnsi="Times New Roman" w:cs="Times New Roman" w:hint="eastAsia"/>
            <w:sz w:val="28"/>
            <w:szCs w:val="28"/>
          </w:rPr>
          <w:t>3</w:t>
        </w:r>
      </w:hyperlink>
      <w:r>
        <w:rPr>
          <w:rFonts w:ascii="Times New Roman" w:eastAsia="宋体" w:hAnsi="Times New Roman" w:cs="Times New Roman" w:hint="eastAsia"/>
          <w:sz w:val="28"/>
          <w:szCs w:val="28"/>
        </w:rPr>
        <w:t>7</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2" w:history="1">
        <w:r>
          <w:rPr>
            <w:rFonts w:ascii="Times New Roman" w:eastAsia="仿宋_GB2312" w:hAnsi="Times New Roman" w:cs="Times New Roman" w:hint="eastAsia"/>
            <w:sz w:val="28"/>
            <w:szCs w:val="28"/>
          </w:rPr>
          <w:t>（一）指导思想</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3</w:t>
        </w:r>
      </w:hyperlink>
      <w:r>
        <w:rPr>
          <w:rFonts w:ascii="Times New Roman" w:eastAsia="仿宋_GB2312" w:hAnsi="Times New Roman" w:cs="Times New Roman" w:hint="eastAsia"/>
          <w:sz w:val="28"/>
          <w:szCs w:val="28"/>
        </w:rPr>
        <w:t>7</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3" w:history="1">
        <w:r>
          <w:rPr>
            <w:rFonts w:ascii="Times New Roman" w:eastAsia="仿宋_GB2312" w:hAnsi="Times New Roman" w:cs="Times New Roman" w:hint="eastAsia"/>
            <w:sz w:val="28"/>
            <w:szCs w:val="28"/>
          </w:rPr>
          <w:t>（二）基本原则</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38</w:t>
      </w:r>
    </w:p>
    <w:p>
      <w:pPr>
        <w:tabs>
          <w:tab w:val="right" w:leader="dot" w:pos="9060"/>
        </w:tabs>
        <w:spacing w:line="360" w:lineRule="auto"/>
        <w:outlineLvl w:val="2"/>
        <w:rPr>
          <w:rFonts w:ascii="Calibri" w:eastAsia="宋体" w:hAnsi="Calibri" w:cs="Times New Roman"/>
          <w:sz w:val="28"/>
          <w:szCs w:val="28"/>
        </w:rPr>
      </w:pPr>
      <w:hyperlink w:anchor="_Toc476822504" w:history="1">
        <w:r>
          <w:rPr>
            <w:rFonts w:ascii="Times New Roman" w:eastAsia="宋体" w:hAnsi="Times New Roman" w:cs="Times New Roman" w:hint="eastAsia"/>
            <w:sz w:val="28"/>
            <w:szCs w:val="28"/>
          </w:rPr>
          <w:t>三、目标任务</w:t>
        </w:r>
        <w:r>
          <w:rPr>
            <w:rFonts w:ascii="Times New Roman" w:eastAsia="宋体" w:hAnsi="Times New Roman" w:cs="Times New Roman"/>
            <w:sz w:val="28"/>
            <w:szCs w:val="28"/>
          </w:rPr>
          <w:tab/>
        </w:r>
        <w:r>
          <w:rPr>
            <w:rFonts w:ascii="Times New Roman" w:eastAsia="宋体" w:hAnsi="Times New Roman" w:cs="Times New Roman" w:hint="eastAsia"/>
            <w:sz w:val="28"/>
            <w:szCs w:val="28"/>
          </w:rPr>
          <w:t>3</w:t>
        </w:r>
      </w:hyperlink>
      <w:r>
        <w:rPr>
          <w:rFonts w:ascii="Times New Roman" w:eastAsia="宋体" w:hAnsi="Times New Roman" w:cs="Times New Roman" w:hint="eastAsia"/>
          <w:sz w:val="28"/>
          <w:szCs w:val="28"/>
        </w:rPr>
        <w:t>8</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5" w:history="1">
        <w:r>
          <w:rPr>
            <w:rFonts w:ascii="Times New Roman" w:eastAsia="仿宋_GB2312" w:hAnsi="Times New Roman" w:cs="Times New Roman" w:hint="eastAsia"/>
            <w:sz w:val="28"/>
            <w:szCs w:val="28"/>
          </w:rPr>
          <w:t>（一）</w:t>
        </w:r>
        <w:r>
          <w:rPr>
            <w:rFonts w:ascii="仿宋" w:eastAsia="仿宋" w:hAnsi="仿宋" w:cs="宋体" w:hint="eastAsia"/>
            <w:sz w:val="30"/>
            <w:szCs w:val="30"/>
          </w:rPr>
          <w:t>拓展学校发展空间</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3</w:t>
        </w:r>
      </w:hyperlink>
      <w:r>
        <w:rPr>
          <w:rFonts w:ascii="Times New Roman" w:eastAsia="仿宋_GB2312" w:hAnsi="Times New Roman" w:cs="Times New Roman" w:hint="eastAsia"/>
          <w:sz w:val="28"/>
          <w:szCs w:val="28"/>
        </w:rPr>
        <w:t>8</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6" w:history="1">
        <w:r>
          <w:rPr>
            <w:rFonts w:ascii="Times New Roman" w:eastAsia="仿宋_GB2312" w:hAnsi="Times New Roman" w:cs="Times New Roman" w:hint="eastAsia"/>
            <w:sz w:val="28"/>
            <w:szCs w:val="28"/>
          </w:rPr>
          <w:t>（二）园林化校园建设</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39</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7" w:history="1">
        <w:r>
          <w:rPr>
            <w:rFonts w:ascii="Times New Roman" w:eastAsia="仿宋_GB2312" w:hAnsi="Times New Roman" w:cs="Times New Roman" w:hint="eastAsia"/>
            <w:sz w:val="28"/>
            <w:szCs w:val="28"/>
          </w:rPr>
          <w:t>（三）校园文化建设</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4</w:t>
        </w:r>
      </w:hyperlink>
      <w:r>
        <w:rPr>
          <w:rFonts w:ascii="Times New Roman" w:eastAsia="仿宋_GB2312" w:hAnsi="Times New Roman" w:cs="Times New Roman" w:hint="eastAsia"/>
          <w:sz w:val="28"/>
          <w:szCs w:val="28"/>
        </w:rPr>
        <w:t>0</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8" w:history="1">
        <w:r>
          <w:rPr>
            <w:rFonts w:ascii="Times New Roman" w:eastAsia="仿宋_GB2312" w:hAnsi="Times New Roman" w:cs="Times New Roman" w:hint="eastAsia"/>
            <w:sz w:val="28"/>
            <w:szCs w:val="28"/>
          </w:rPr>
          <w:t>（四）信息化校园建设</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40</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09" w:history="1">
        <w:r>
          <w:rPr>
            <w:rFonts w:ascii="Times New Roman" w:eastAsia="仿宋_GB2312" w:hAnsi="Times New Roman" w:cs="Times New Roman" w:hint="eastAsia"/>
            <w:sz w:val="28"/>
            <w:szCs w:val="28"/>
          </w:rPr>
          <w:t>（五）安全化校园建设</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4</w:t>
        </w:r>
      </w:hyperlink>
      <w:r>
        <w:rPr>
          <w:rFonts w:ascii="Times New Roman" w:eastAsia="仿宋_GB2312" w:hAnsi="Times New Roman" w:cs="Times New Roman" w:hint="eastAsia"/>
          <w:sz w:val="28"/>
          <w:szCs w:val="28"/>
        </w:rPr>
        <w:t>1</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10" w:history="1">
        <w:r>
          <w:rPr>
            <w:rFonts w:ascii="Times New Roman" w:eastAsia="仿宋_GB2312" w:hAnsi="Times New Roman" w:cs="Times New Roman" w:hint="eastAsia"/>
            <w:sz w:val="28"/>
            <w:szCs w:val="28"/>
          </w:rPr>
          <w:t>（六）基本建设任务</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42</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11" w:history="1">
        <w:r>
          <w:rPr>
            <w:rFonts w:ascii="Times New Roman" w:eastAsia="仿宋_GB2312" w:hAnsi="Times New Roman" w:cs="Times New Roman" w:hint="eastAsia"/>
            <w:sz w:val="28"/>
            <w:szCs w:val="28"/>
          </w:rPr>
          <w:t>（七）基础设施维修改造任务</w:t>
        </w:r>
        <w:r>
          <w:rPr>
            <w:rFonts w:ascii="Times New Roman" w:eastAsia="仿宋_GB2312" w:hAnsi="Times New Roman" w:cs="Times New Roman"/>
            <w:sz w:val="28"/>
            <w:szCs w:val="28"/>
          </w:rPr>
          <w:tab/>
        </w:r>
        <w:r>
          <w:rPr>
            <w:rFonts w:ascii="Times New Roman" w:eastAsia="仿宋_GB2312" w:hAnsi="Times New Roman" w:cs="Times New Roman" w:hint="eastAsia"/>
            <w:sz w:val="28"/>
            <w:szCs w:val="28"/>
          </w:rPr>
          <w:t>4</w:t>
        </w:r>
      </w:hyperlink>
      <w:r>
        <w:rPr>
          <w:rFonts w:ascii="Times New Roman" w:eastAsia="仿宋_GB2312" w:hAnsi="Times New Roman" w:cs="Times New Roman" w:hint="eastAsia"/>
          <w:sz w:val="28"/>
          <w:szCs w:val="28"/>
        </w:rPr>
        <w:t>2</w:t>
      </w:r>
    </w:p>
    <w:p>
      <w:pPr>
        <w:tabs>
          <w:tab w:val="right" w:leader="dot" w:pos="9060"/>
        </w:tabs>
        <w:spacing w:line="360" w:lineRule="auto"/>
        <w:ind w:left="440" w:firstLine="440" w:leftChars="200" w:firstLineChars="200"/>
        <w:outlineLvl w:val="3"/>
        <w:rPr>
          <w:rFonts w:ascii="Calibri" w:eastAsia="仿宋_GB2312" w:hAnsi="Calibri" w:cs="Times New Roman"/>
          <w:sz w:val="28"/>
          <w:szCs w:val="28"/>
        </w:rPr>
      </w:pPr>
      <w:hyperlink w:anchor="_Toc476822512" w:history="1">
        <w:r>
          <w:rPr>
            <w:rFonts w:ascii="Times New Roman" w:eastAsia="仿宋_GB2312" w:hAnsi="Times New Roman" w:cs="Times New Roman" w:hint="eastAsia"/>
            <w:sz w:val="28"/>
            <w:szCs w:val="28"/>
          </w:rPr>
          <w:t>（八）学生宿舍提升改造建设任务</w:t>
        </w:r>
        <w:r>
          <w:rPr>
            <w:rFonts w:ascii="Times New Roman" w:eastAsia="仿宋_GB2312" w:hAnsi="Times New Roman" w:cs="Times New Roman"/>
            <w:sz w:val="28"/>
            <w:szCs w:val="28"/>
          </w:rPr>
          <w:tab/>
        </w:r>
      </w:hyperlink>
      <w:r>
        <w:rPr>
          <w:rFonts w:ascii="Times New Roman" w:eastAsia="仿宋_GB2312" w:hAnsi="Times New Roman" w:cs="Times New Roman" w:hint="eastAsia"/>
          <w:sz w:val="28"/>
          <w:szCs w:val="28"/>
        </w:rPr>
        <w:t>43</w:t>
      </w:r>
    </w:p>
    <w:p>
      <w:pPr>
        <w:tabs>
          <w:tab w:val="right" w:leader="dot" w:pos="9060"/>
        </w:tabs>
        <w:spacing w:line="360" w:lineRule="auto"/>
        <w:outlineLvl w:val="2"/>
        <w:rPr>
          <w:rFonts w:ascii="Calibri" w:eastAsia="宋体" w:hAnsi="Calibri" w:cs="Times New Roman"/>
          <w:sz w:val="28"/>
          <w:szCs w:val="28"/>
        </w:rPr>
      </w:pPr>
      <w:hyperlink w:anchor="_Toc476822513" w:history="1">
        <w:r>
          <w:rPr>
            <w:rFonts w:ascii="Times New Roman" w:eastAsia="宋体" w:hAnsi="Times New Roman" w:cs="Times New Roman" w:hint="eastAsia"/>
            <w:sz w:val="28"/>
            <w:szCs w:val="28"/>
          </w:rPr>
          <w:t>四、保障措施</w:t>
        </w:r>
        <w:r>
          <w:rPr>
            <w:rFonts w:ascii="Times New Roman" w:eastAsia="宋体" w:hAnsi="Times New Roman" w:cs="Times New Roman"/>
            <w:sz w:val="28"/>
            <w:szCs w:val="28"/>
          </w:rPr>
          <w:tab/>
        </w:r>
      </w:hyperlink>
      <w:r>
        <w:rPr>
          <w:rFonts w:ascii="Times New Roman" w:eastAsia="宋体" w:hAnsi="Times New Roman" w:cs="Times New Roman" w:hint="eastAsia"/>
          <w:sz w:val="28"/>
          <w:szCs w:val="28"/>
        </w:rPr>
        <w:t>43</w:t>
      </w:r>
    </w:p>
    <w:p>
      <w:pPr>
        <w:spacing w:line="560" w:lineRule="exact"/>
        <w:jc w:val="center"/>
        <w:rPr>
          <w:rFonts w:ascii="仿宋_GB2312" w:eastAsia="仿宋_GB2312" w:hAnsi="仿宋" w:cs="Times New Roman"/>
          <w:sz w:val="28"/>
          <w:szCs w:val="28"/>
        </w:rPr>
        <w:sectPr>
          <w:footerReference w:type="even" r:id="rId34"/>
          <w:footerReference w:type="default" r:id="rId35"/>
          <w:pgSz w:w="11906" w:h="16838"/>
          <w:pgMar w:top="1440" w:right="1457" w:bottom="1440" w:left="1457" w:header="851" w:footer="992" w:gutter="0"/>
          <w:cols w:space="708"/>
          <w:docGrid w:type="lines" w:linePitch="312" w:charSpace="0"/>
        </w:sectPr>
      </w:pPr>
      <w:r>
        <w:rPr>
          <w:rFonts w:ascii="仿宋_GB2312" w:eastAsia="仿宋_GB2312" w:hAnsi="仿宋" w:cs="Times New Roman"/>
          <w:sz w:val="28"/>
          <w:szCs w:val="28"/>
        </w:rPr>
        <w:fldChar w:fldCharType="end"/>
      </w:r>
    </w:p>
    <w:p>
      <w:pPr>
        <w:spacing w:line="560" w:lineRule="exact"/>
        <w:jc w:val="center"/>
        <w:rPr>
          <w:rFonts w:ascii="宋体" w:eastAsia="宋体" w:hAnsi="宋体" w:cs="Arial"/>
          <w:b/>
          <w:sz w:val="28"/>
          <w:szCs w:val="28"/>
        </w:rPr>
      </w:pPr>
    </w:p>
    <w:p>
      <w:pPr>
        <w:spacing w:line="560" w:lineRule="exact"/>
        <w:jc w:val="center"/>
        <w:rPr>
          <w:rFonts w:ascii="宋体" w:eastAsia="宋体" w:hAnsi="宋体" w:cs="Arial"/>
          <w:b/>
          <w:sz w:val="36"/>
          <w:szCs w:val="36"/>
        </w:rPr>
        <w:sectPr>
          <w:footerReference w:type="default" r:id="rId36"/>
          <w:pgSz w:w="11906" w:h="16838"/>
          <w:pgMar w:top="1440" w:right="1457" w:bottom="1440" w:left="1457" w:header="851" w:footer="992" w:gutter="0"/>
          <w:cols w:space="708"/>
          <w:docGrid w:type="lines" w:linePitch="312" w:charSpace="0"/>
        </w:sectPr>
      </w:pPr>
    </w:p>
    <w:p>
      <w:pPr>
        <w:spacing w:line="560" w:lineRule="exact"/>
        <w:jc w:val="center"/>
        <w:rPr>
          <w:rFonts w:ascii="宋体" w:eastAsia="宋体" w:hAnsi="宋体" w:cs="Arial"/>
          <w:b/>
          <w:sz w:val="36"/>
          <w:szCs w:val="36"/>
        </w:rPr>
      </w:pPr>
      <w:r>
        <w:rPr>
          <w:rFonts w:ascii="宋体" w:eastAsia="宋体" w:hAnsi="宋体" w:cs="Arial" w:hint="eastAsia"/>
          <w:b/>
          <w:sz w:val="36"/>
          <w:szCs w:val="36"/>
        </w:rPr>
        <w:t>河北科技学院</w:t>
      </w:r>
    </w:p>
    <w:p>
      <w:pPr>
        <w:spacing w:line="560" w:lineRule="exact"/>
        <w:jc w:val="center"/>
        <w:rPr>
          <w:rFonts w:ascii="宋体" w:eastAsia="宋体" w:hAnsi="宋体" w:cs="Arial"/>
          <w:b/>
          <w:sz w:val="36"/>
          <w:szCs w:val="36"/>
        </w:rPr>
      </w:pPr>
      <w:r>
        <w:rPr>
          <w:rFonts w:ascii="宋体" w:eastAsia="宋体" w:hAnsi="宋体" w:cs="Arial" w:hint="eastAsia"/>
          <w:b/>
          <w:sz w:val="36"/>
          <w:szCs w:val="36"/>
        </w:rPr>
        <w:t>“</w:t>
      </w:r>
      <w:r>
        <w:rPr>
          <w:rFonts w:ascii="宋体" w:eastAsia="宋体" w:hAnsi="宋体" w:cs="Arial" w:hint="eastAsia"/>
          <w:b/>
          <w:sz w:val="36"/>
          <w:szCs w:val="36"/>
        </w:rPr>
        <w:t>十三五</w:t>
      </w:r>
      <w:r>
        <w:rPr>
          <w:rFonts w:ascii="宋体" w:eastAsia="宋体" w:hAnsi="宋体" w:cs="Arial" w:hint="eastAsia"/>
          <w:b/>
          <w:sz w:val="36"/>
          <w:szCs w:val="36"/>
        </w:rPr>
        <w:t>”</w:t>
      </w:r>
      <w:r>
        <w:rPr>
          <w:rFonts w:ascii="宋体" w:eastAsia="宋体" w:hAnsi="宋体" w:cs="Arial" w:hint="eastAsia"/>
          <w:b/>
          <w:sz w:val="36"/>
          <w:szCs w:val="36"/>
        </w:rPr>
        <w:t>校园建设发展规划</w:t>
      </w:r>
    </w:p>
    <w:p>
      <w:pPr>
        <w:spacing w:line="560" w:lineRule="exact"/>
        <w:jc w:val="center"/>
        <w:rPr>
          <w:rFonts w:ascii="仿宋" w:eastAsia="仿宋" w:hAnsi="仿宋" w:cs="宋体"/>
          <w:bCs/>
          <w:kern w:val="0"/>
          <w:sz w:val="28"/>
          <w:szCs w:val="28"/>
        </w:rPr>
      </w:pPr>
      <w:r>
        <w:rPr>
          <w:rFonts w:ascii="仿宋" w:eastAsia="仿宋" w:hAnsi="仿宋" w:cs="宋体" w:hint="eastAsia"/>
          <w:bCs/>
          <w:kern w:val="0"/>
          <w:sz w:val="28"/>
          <w:szCs w:val="28"/>
        </w:rPr>
        <w:t>（二〇一六年至二〇二〇年）</w:t>
      </w:r>
    </w:p>
    <w:p>
      <w:pPr>
        <w:spacing w:line="560" w:lineRule="exact"/>
        <w:jc w:val="center"/>
        <w:rPr>
          <w:rFonts w:ascii="仿宋_GB2312" w:eastAsia="仿宋_GB2312" w:hAnsi="宋体" w:cs="宋体"/>
          <w:bCs/>
          <w:kern w:val="0"/>
          <w:sz w:val="28"/>
          <w:szCs w:val="28"/>
        </w:rPr>
      </w:pPr>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校园是学生学习生活的基本场所，也是学校精神文明、学术和文化建设的主要载体，更是培养高素质实用型人才的重要基地。校园规划与建设关系到人才培养的质量，关系到学校发展战略目标的实现。根据《国家中长期教育改革和发展规划纲要（2010－2020年）》和《河北科技学院</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发展规划》，依据《教育部普通高等学校基本办学条件指标》（教发【2004】2号），结合我校现有基础能力建设布局和整体规划方案，紧紧围绕学校发展战略目标，通过对由学校基础设施和基本建设等环境构成的系统设计和调控，有效支撑学校发展需求，实现可持续发展，制定本规划。</w:t>
      </w:r>
      <w:bookmarkStart w:id="141" w:name="_Toc475440709"/>
      <w:bookmarkStart w:id="142" w:name="_Toc475369198"/>
      <w:bookmarkStart w:id="143" w:name="_Toc476822497"/>
    </w:p>
    <w:p>
      <w:pPr>
        <w:spacing w:line="560" w:lineRule="exact"/>
        <w:ind w:firstLine="600" w:firstLineChars="200"/>
        <w:rPr>
          <w:rFonts w:ascii="黑体" w:eastAsia="黑体" w:hAnsi="黑体" w:cs="Times New Roman"/>
          <w:sz w:val="30"/>
          <w:szCs w:val="30"/>
        </w:rPr>
      </w:pPr>
      <w:r>
        <w:rPr>
          <w:rFonts w:ascii="黑体" w:eastAsia="黑体" w:hAnsi="黑体" w:cs="Times New Roman" w:hint="eastAsia"/>
          <w:bCs/>
          <w:sz w:val="30"/>
          <w:szCs w:val="30"/>
        </w:rPr>
        <w:t>一、</w:t>
      </w:r>
      <w:bookmarkEnd w:id="141"/>
      <w:bookmarkEnd w:id="142"/>
      <w:r>
        <w:rPr>
          <w:rFonts w:ascii="黑体" w:eastAsia="黑体" w:hAnsi="黑体" w:cs="Times New Roman" w:hint="eastAsia"/>
          <w:bCs/>
          <w:sz w:val="30"/>
          <w:szCs w:val="30"/>
        </w:rPr>
        <w:t>发展基础</w:t>
      </w:r>
      <w:bookmarkStart w:id="144" w:name="_Toc475369199"/>
      <w:bookmarkStart w:id="145" w:name="_Toc476822498"/>
      <w:bookmarkEnd w:id="143"/>
    </w:p>
    <w:p>
      <w:pPr>
        <w:spacing w:line="560" w:lineRule="exact"/>
        <w:ind w:firstLine="600" w:firstLineChars="200"/>
        <w:rPr>
          <w:rFonts w:ascii="楷体" w:eastAsia="楷体" w:hAnsi="楷体" w:cs="Times New Roman"/>
          <w:sz w:val="30"/>
          <w:szCs w:val="30"/>
        </w:rPr>
      </w:pPr>
      <w:r>
        <w:rPr>
          <w:rFonts w:ascii="楷体" w:eastAsia="楷体" w:hAnsi="楷体" w:cs="Times New Roman" w:hint="eastAsia"/>
          <w:b/>
          <w:bCs/>
          <w:sz w:val="30"/>
          <w:szCs w:val="30"/>
        </w:rPr>
        <w:t>（一）</w:t>
      </w:r>
      <w:bookmarkEnd w:id="144"/>
      <w:r>
        <w:rPr>
          <w:rFonts w:ascii="楷体" w:eastAsia="楷体" w:hAnsi="楷体" w:cs="Times New Roman" w:hint="eastAsia"/>
          <w:b/>
          <w:bCs/>
          <w:sz w:val="30"/>
          <w:szCs w:val="30"/>
        </w:rPr>
        <w:t>发展现状</w:t>
      </w:r>
      <w:bookmarkEnd w:id="145"/>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 xml:space="preserve"> </w:t>
      </w:r>
      <w:r>
        <w:rPr>
          <w:rFonts w:ascii="仿宋" w:eastAsia="仿宋" w:hAnsi="仿宋" w:cs="Times New Roman" w:hint="eastAsia"/>
          <w:sz w:val="30"/>
          <w:szCs w:val="30"/>
        </w:rPr>
        <w:t>“</w:t>
      </w:r>
      <w:r>
        <w:rPr>
          <w:rFonts w:ascii="仿宋" w:eastAsia="仿宋" w:hAnsi="仿宋" w:cs="Times New Roman" w:hint="eastAsia"/>
          <w:sz w:val="30"/>
          <w:szCs w:val="30"/>
        </w:rPr>
        <w:t>十二五</w:t>
      </w:r>
      <w:r>
        <w:rPr>
          <w:rFonts w:ascii="仿宋" w:eastAsia="仿宋" w:hAnsi="仿宋" w:cs="Times New Roman" w:hint="eastAsia"/>
          <w:sz w:val="30"/>
          <w:szCs w:val="30"/>
        </w:rPr>
        <w:t>”</w:t>
      </w:r>
      <w:r>
        <w:rPr>
          <w:rFonts w:ascii="仿宋" w:eastAsia="仿宋" w:hAnsi="仿宋" w:cs="Times New Roman" w:hint="eastAsia"/>
          <w:sz w:val="30"/>
          <w:szCs w:val="30"/>
        </w:rPr>
        <w:t>期间，</w:t>
      </w:r>
      <w:bookmarkStart w:id="146" w:name="_Toc451263360"/>
      <w:bookmarkStart w:id="147" w:name="_Toc451168550"/>
      <w:bookmarkStart w:id="148" w:name="_Toc450897915"/>
      <w:bookmarkEnd w:id="146"/>
      <w:bookmarkEnd w:id="147"/>
      <w:bookmarkEnd w:id="148"/>
      <w:r>
        <w:rPr>
          <w:rFonts w:ascii="仿宋" w:eastAsia="仿宋" w:hAnsi="仿宋" w:cs="Times New Roman" w:hint="eastAsia"/>
          <w:sz w:val="30"/>
          <w:szCs w:val="30"/>
        </w:rPr>
        <w:t>学校</w:t>
      </w:r>
      <w:r>
        <w:rPr>
          <w:rStyle w:val="Strong"/>
          <w:rFonts w:ascii="仿宋" w:eastAsia="仿宋" w:hAnsi="仿宋" w:cs="Arial" w:hint="eastAsia"/>
          <w:b w:val="0"/>
          <w:sz w:val="30"/>
          <w:szCs w:val="30"/>
          <w:lang w:val="en"/>
        </w:rPr>
        <w:t>积极改善办学条件，校园建设稳步推进。</w:t>
      </w:r>
      <w:r>
        <w:rPr>
          <w:rFonts w:ascii="仿宋" w:eastAsia="仿宋" w:hAnsi="仿宋" w:cs="Times New Roman" w:hint="eastAsia"/>
          <w:sz w:val="30"/>
          <w:szCs w:val="30"/>
        </w:rPr>
        <w:t>基建项目完成了教学楼、学生公寓楼、实验室、新学生食堂、浴室、地下大型超市、孔子广场、校园水系及音乐喷泉广场、学术报告厅、标准化运动场、全覆盖无死角校园监控系统等基础建设；学校占地面积增加到</w:t>
      </w:r>
      <w:r>
        <w:rPr>
          <w:rFonts w:ascii="仿宋" w:eastAsia="仿宋" w:hAnsi="仿宋" w:cs="Times New Roman" w:hint="eastAsia"/>
          <w:sz w:val="30"/>
          <w:szCs w:val="30"/>
          <w:u w:val="single"/>
        </w:rPr>
        <w:t>1376</w:t>
      </w:r>
      <w:r>
        <w:rPr>
          <w:rFonts w:ascii="仿宋" w:eastAsia="仿宋" w:hAnsi="仿宋" w:cs="Times New Roman" w:hint="eastAsia"/>
          <w:sz w:val="30"/>
          <w:szCs w:val="30"/>
        </w:rPr>
        <w:t>亩，建筑面积达</w:t>
      </w:r>
      <w:r>
        <w:rPr>
          <w:rFonts w:ascii="仿宋" w:eastAsia="仿宋" w:hAnsi="仿宋" w:cs="Times New Roman"/>
          <w:sz w:val="30"/>
          <w:szCs w:val="30"/>
        </w:rPr>
        <w:t>34</w:t>
      </w:r>
      <w:r>
        <w:rPr>
          <w:rFonts w:ascii="仿宋" w:eastAsia="仿宋" w:hAnsi="仿宋" w:cs="Times New Roman" w:hint="eastAsia"/>
          <w:sz w:val="30"/>
          <w:szCs w:val="30"/>
        </w:rPr>
        <w:t>.</w:t>
      </w:r>
      <w:r>
        <w:rPr>
          <w:rFonts w:ascii="仿宋" w:eastAsia="仿宋" w:hAnsi="仿宋" w:cs="Times New Roman"/>
          <w:sz w:val="30"/>
          <w:szCs w:val="30"/>
        </w:rPr>
        <w:t>17</w:t>
      </w:r>
      <w:r>
        <w:rPr>
          <w:rFonts w:ascii="仿宋" w:eastAsia="仿宋" w:hAnsi="仿宋" w:cs="Times New Roman" w:hint="eastAsia"/>
          <w:sz w:val="30"/>
          <w:szCs w:val="30"/>
        </w:rPr>
        <w:t>万多平方米、教学科研行政办公用房</w:t>
      </w:r>
      <w:r>
        <w:rPr>
          <w:rFonts w:ascii="仿宋" w:eastAsia="仿宋" w:hAnsi="仿宋" w:cs="Times New Roman"/>
          <w:sz w:val="30"/>
          <w:szCs w:val="30"/>
        </w:rPr>
        <w:t>24</w:t>
      </w:r>
      <w:r>
        <w:rPr>
          <w:rFonts w:ascii="仿宋" w:eastAsia="仿宋" w:hAnsi="仿宋" w:cs="Times New Roman" w:hint="eastAsia"/>
          <w:sz w:val="30"/>
          <w:szCs w:val="30"/>
        </w:rPr>
        <w:t>万平方米。各类建筑面积基本满足教学、生活需要，布局基本合理，设施基本建全，功能基本齐备，校园绿化、文化建设也基本到位，为学校扩大招生规模、由专科办学层次向本科办学层次的过渡，以及顺利通过学士学位授予权评审等提供了最基本的条件，也为学校加强内涵建设和转型发展奠定了坚实基础。</w:t>
      </w:r>
    </w:p>
    <w:p>
      <w:pPr>
        <w:spacing w:line="560" w:lineRule="exact"/>
        <w:ind w:firstLine="600" w:firstLineChars="200"/>
        <w:jc w:val="left"/>
        <w:rPr>
          <w:rFonts w:ascii="楷体" w:eastAsia="楷体" w:hAnsi="楷体" w:cs="Times New Roman"/>
          <w:sz w:val="30"/>
          <w:szCs w:val="30"/>
        </w:rPr>
      </w:pPr>
      <w:bookmarkStart w:id="149" w:name="_Toc475369200"/>
      <w:bookmarkStart w:id="150" w:name="_Toc476822499"/>
      <w:r>
        <w:rPr>
          <w:rFonts w:ascii="楷体" w:eastAsia="楷体" w:hAnsi="楷体" w:cs="Times New Roman" w:hint="eastAsia"/>
          <w:b/>
          <w:bCs/>
          <w:sz w:val="30"/>
          <w:szCs w:val="30"/>
        </w:rPr>
        <w:t>（二）存在问题</w:t>
      </w:r>
      <w:bookmarkEnd w:id="149"/>
      <w:bookmarkEnd w:id="150"/>
    </w:p>
    <w:p>
      <w:pPr>
        <w:spacing w:line="560" w:lineRule="exact"/>
        <w:ind w:firstLine="600" w:firstLineChars="200"/>
        <w:jc w:val="left"/>
        <w:rPr>
          <w:rFonts w:ascii="仿宋" w:eastAsia="仿宋" w:hAnsi="仿宋" w:cs="Times New Roman"/>
          <w:sz w:val="30"/>
          <w:szCs w:val="30"/>
        </w:rPr>
      </w:pPr>
      <w:r>
        <w:rPr>
          <w:rFonts w:ascii="仿宋" w:eastAsia="仿宋" w:hAnsi="仿宋" w:cs="Times New Roman" w:hint="eastAsia"/>
          <w:b/>
          <w:sz w:val="30"/>
          <w:szCs w:val="30"/>
        </w:rPr>
        <w:t>1.规划不够统一</w:t>
      </w:r>
      <w:r>
        <w:rPr>
          <w:rFonts w:ascii="仿宋" w:eastAsia="仿宋" w:hAnsi="仿宋" w:cs="Times New Roman" w:hint="eastAsia"/>
          <w:sz w:val="30"/>
          <w:szCs w:val="30"/>
        </w:rPr>
        <w:t>。由于学校发展较快，存在规划跟不上学校的发展、规划不够统一的情况。要统筹考虑近期和远期发展规划，做好可行性分析，科学合理地做好校园发展规划。</w:t>
      </w:r>
    </w:p>
    <w:p>
      <w:pPr>
        <w:spacing w:line="560" w:lineRule="exact"/>
        <w:ind w:firstLine="645"/>
        <w:rPr>
          <w:rFonts w:ascii="仿宋" w:eastAsia="仿宋" w:hAnsi="仿宋" w:cs="Times New Roman"/>
          <w:sz w:val="30"/>
          <w:szCs w:val="30"/>
        </w:rPr>
      </w:pPr>
      <w:r>
        <w:rPr>
          <w:rFonts w:ascii="仿宋" w:eastAsia="仿宋" w:hAnsi="仿宋" w:cs="Times New Roman" w:hint="eastAsia"/>
          <w:b/>
          <w:sz w:val="30"/>
          <w:szCs w:val="30"/>
        </w:rPr>
        <w:t>2.布局不够合理。</w:t>
      </w:r>
      <w:r>
        <w:rPr>
          <w:rFonts w:ascii="仿宋" w:eastAsia="仿宋" w:hAnsi="仿宋" w:cs="Times New Roman" w:hint="eastAsia"/>
          <w:sz w:val="30"/>
          <w:szCs w:val="30"/>
        </w:rPr>
        <w:t>需要进一步整合、调整各教学楼的教学功能，使各教学单位、专业分布合理，教学功能相对独立，教学资源充分共享；需要组建成立实验教学管理中心，对现有资源整合，进一步加大实验室、实习实训、创新创业基地建设力度，以满足学校发展、育人功能的需要。</w:t>
      </w:r>
    </w:p>
    <w:p>
      <w:pPr>
        <w:spacing w:line="560" w:lineRule="exact"/>
        <w:ind w:firstLine="645"/>
        <w:rPr>
          <w:rFonts w:ascii="仿宋" w:eastAsia="仿宋" w:hAnsi="仿宋" w:cs="Times New Roman"/>
          <w:sz w:val="30"/>
          <w:szCs w:val="30"/>
        </w:rPr>
      </w:pPr>
      <w:r>
        <w:rPr>
          <w:rFonts w:ascii="仿宋" w:eastAsia="仿宋" w:hAnsi="仿宋" w:cs="Times New Roman" w:hint="eastAsia"/>
          <w:sz w:val="30"/>
          <w:szCs w:val="30"/>
        </w:rPr>
        <w:t>3.</w:t>
      </w:r>
      <w:r>
        <w:rPr>
          <w:rFonts w:ascii="仿宋" w:eastAsia="仿宋" w:hAnsi="仿宋" w:cs="Times New Roman" w:hint="eastAsia"/>
          <w:b/>
          <w:sz w:val="30"/>
          <w:szCs w:val="30"/>
        </w:rPr>
        <w:t>文化建设有待提高。</w:t>
      </w:r>
      <w:r>
        <w:rPr>
          <w:rFonts w:ascii="仿宋" w:eastAsia="仿宋" w:hAnsi="仿宋" w:cs="Times New Roman" w:hint="eastAsia"/>
          <w:sz w:val="30"/>
          <w:szCs w:val="30"/>
        </w:rPr>
        <w:t>由于建设时间较短，校园文化还需继续沉淀，特别是增强传统文化、军营文化育人的效果，体现学校文化育人特色。</w:t>
      </w:r>
    </w:p>
    <w:p>
      <w:pPr>
        <w:spacing w:line="560" w:lineRule="exact"/>
        <w:ind w:firstLine="645"/>
        <w:rPr>
          <w:rFonts w:ascii="仿宋" w:eastAsia="仿宋" w:hAnsi="仿宋" w:cs="Times New Roman"/>
          <w:sz w:val="30"/>
          <w:szCs w:val="30"/>
        </w:rPr>
      </w:pPr>
      <w:r>
        <w:rPr>
          <w:rFonts w:ascii="仿宋" w:eastAsia="仿宋" w:hAnsi="仿宋" w:cs="Times New Roman" w:hint="eastAsia"/>
          <w:b/>
          <w:sz w:val="30"/>
          <w:szCs w:val="30"/>
        </w:rPr>
        <w:t>4.建设资金困难。</w:t>
      </w:r>
      <w:r>
        <w:rPr>
          <w:rFonts w:ascii="仿宋" w:eastAsia="仿宋" w:hAnsi="仿宋" w:cs="Times New Roman" w:hint="eastAsia"/>
          <w:sz w:val="30"/>
          <w:szCs w:val="30"/>
        </w:rPr>
        <w:t>学校属民办院校，建设资金没有财政专项拨款，资金来源主要靠自筹，学校建设资金十分紧张。</w:t>
      </w:r>
    </w:p>
    <w:p>
      <w:pPr>
        <w:widowControl/>
        <w:shd w:val="clear" w:color="auto" w:fill="FFFFFF"/>
        <w:spacing w:line="560" w:lineRule="exact"/>
        <w:ind w:firstLine="600" w:firstLineChars="200"/>
        <w:contextualSpacing/>
        <w:jc w:val="left"/>
        <w:rPr>
          <w:rFonts w:ascii="楷体" w:eastAsia="楷体" w:hAnsi="楷体" w:cs="Times New Roman"/>
          <w:sz w:val="30"/>
          <w:szCs w:val="30"/>
        </w:rPr>
      </w:pPr>
      <w:bookmarkStart w:id="151" w:name="_Toc475369201"/>
      <w:bookmarkStart w:id="152" w:name="_Toc476822500"/>
      <w:r>
        <w:rPr>
          <w:rFonts w:ascii="楷体" w:eastAsia="楷体" w:hAnsi="楷体" w:cs="Times New Roman" w:hint="eastAsia"/>
          <w:b/>
          <w:bCs/>
          <w:sz w:val="30"/>
          <w:szCs w:val="30"/>
        </w:rPr>
        <w:t>（三）</w:t>
      </w:r>
      <w:bookmarkEnd w:id="151"/>
      <w:r>
        <w:rPr>
          <w:rFonts w:ascii="楷体" w:eastAsia="楷体" w:hAnsi="楷体" w:cs="Times New Roman" w:hint="eastAsia"/>
          <w:b/>
          <w:bCs/>
          <w:sz w:val="30"/>
          <w:szCs w:val="30"/>
        </w:rPr>
        <w:t>制定本规划的背景</w:t>
      </w:r>
      <w:bookmarkEnd w:id="152"/>
      <w:r>
        <w:rPr>
          <w:rFonts w:ascii="楷体" w:eastAsia="楷体" w:hAnsi="楷体" w:cs="Times New Roman" w:hint="eastAsia"/>
          <w:b/>
          <w:bCs/>
          <w:sz w:val="30"/>
          <w:szCs w:val="30"/>
        </w:rPr>
        <w:t>和依据</w:t>
      </w:r>
    </w:p>
    <w:p>
      <w:pPr>
        <w:tabs>
          <w:tab w:val="left" w:pos="2520"/>
          <w:tab w:val="left" w:pos="4046"/>
        </w:tabs>
        <w:adjustRightInd w:val="0"/>
        <w:spacing w:line="560" w:lineRule="exact"/>
        <w:ind w:firstLine="600" w:firstLineChars="200"/>
        <w:contextualSpacing/>
        <w:jc w:val="left"/>
        <w:rPr>
          <w:rFonts w:ascii="仿宋" w:eastAsia="仿宋" w:hAnsi="仿宋" w:cs="Times New Roman"/>
          <w:b/>
          <w:sz w:val="30"/>
          <w:szCs w:val="30"/>
        </w:rPr>
      </w:pPr>
      <w:r>
        <w:rPr>
          <w:rFonts w:ascii="仿宋" w:eastAsia="仿宋" w:hAnsi="仿宋" w:cs="Times New Roman" w:hint="eastAsia"/>
          <w:b/>
          <w:sz w:val="30"/>
          <w:szCs w:val="30"/>
        </w:rPr>
        <w:t>1.背景</w:t>
      </w:r>
    </w:p>
    <w:p>
      <w:pPr>
        <w:tabs>
          <w:tab w:val="left" w:pos="2520"/>
          <w:tab w:val="left" w:pos="4046"/>
        </w:tabs>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期间是我们学校实现健康快速发展的关键时期。</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期间我校的既面临严峻挑战，又面临良好的机遇，伴随着雄安新区建设、京津冀协同发展略的实施，区域内对科技、人才、智力资源需求数量和质量的要求日益提高。同时，区域经济的迅速发展也可以为整合科研资源、开展科研活动、拓展科研领域提供更大的经济实践平台，也为</w:t>
      </w:r>
      <w:r>
        <w:rPr>
          <w:rFonts w:ascii="仿宋" w:eastAsia="仿宋" w:hAnsi="仿宋" w:cs="Times New Roman" w:hint="eastAsia"/>
          <w:snapToGrid w:val="0"/>
          <w:sz w:val="30"/>
          <w:szCs w:val="30"/>
        </w:rPr>
        <w:t>为</w:t>
      </w:r>
      <w:r>
        <w:rPr>
          <w:rFonts w:ascii="仿宋" w:eastAsia="仿宋" w:hAnsi="仿宋" w:cs="Times New Roman" w:hint="eastAsia"/>
          <w:sz w:val="30"/>
          <w:szCs w:val="30"/>
        </w:rPr>
        <w:t>我校加快发展校提供了新的发展机遇；我校作为新升本科院校，对自身转型发展、加快发展也提出了更高要求；尤其是学校将面临合格评估和专业硕士点申报任务，对校园基础能力保障提出了更高的要求，校园基础设施必须紧紧围绕上述要求来规划建设。</w:t>
      </w:r>
    </w:p>
    <w:p>
      <w:pPr>
        <w:tabs>
          <w:tab w:val="left" w:pos="2520"/>
          <w:tab w:val="left" w:pos="4046"/>
        </w:tabs>
        <w:adjustRightInd w:val="0"/>
        <w:spacing w:line="560" w:lineRule="exact"/>
        <w:ind w:firstLine="600" w:firstLineChars="200"/>
        <w:contextualSpacing/>
        <w:jc w:val="left"/>
        <w:rPr>
          <w:rFonts w:ascii="仿宋" w:eastAsia="仿宋" w:hAnsi="仿宋" w:cs="Times New Roman"/>
          <w:b/>
          <w:sz w:val="30"/>
          <w:szCs w:val="30"/>
        </w:rPr>
      </w:pPr>
      <w:r>
        <w:rPr>
          <w:rFonts w:ascii="仿宋" w:eastAsia="仿宋" w:hAnsi="仿宋" w:cs="Times New Roman" w:hint="eastAsia"/>
          <w:b/>
          <w:sz w:val="30"/>
          <w:szCs w:val="30"/>
        </w:rPr>
        <w:t>2.依据</w:t>
      </w:r>
    </w:p>
    <w:p>
      <w:pPr>
        <w:tabs>
          <w:tab w:val="left" w:pos="2520"/>
          <w:tab w:val="left" w:pos="4046"/>
        </w:tabs>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《河北科技学院</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校园建设规划》是《河北科技学院</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教育事业发展规划》的配套规划，是学校基本建设的发展蓝图，也是学校顶层设计和战略部署的一部分，关系到学校今后五年乃至更长一个时期的发展，也是涉及全校师生员工切身利益的大事。本规划的制定依据主要是：</w:t>
      </w:r>
    </w:p>
    <w:p>
      <w:pPr>
        <w:tabs>
          <w:tab w:val="left" w:pos="2520"/>
          <w:tab w:val="left" w:pos="4046"/>
        </w:tabs>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（1）国家中长期教育改革和发展规划纲要（2010-2020）</w:t>
      </w:r>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（2）教育部、建设部《普通高等学校建筑规划面积指标》</w:t>
      </w:r>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（3）教育部《普通高等学校基本办学条件指标合格标准》</w:t>
      </w:r>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（4）国家、省、市等有关规划、建设法规、规范</w:t>
      </w:r>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（5）河北科技学院</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教育事业发展规划</w:t>
      </w:r>
      <w:bookmarkStart w:id="153" w:name="_Toc475440710"/>
      <w:bookmarkStart w:id="154" w:name="_Toc475369202"/>
      <w:bookmarkStart w:id="155" w:name="_Toc476822501"/>
    </w:p>
    <w:p>
      <w:pPr>
        <w:spacing w:line="560" w:lineRule="exact"/>
        <w:ind w:firstLine="600" w:firstLineChars="200"/>
        <w:contextualSpacing/>
        <w:jc w:val="left"/>
        <w:rPr>
          <w:rFonts w:ascii="黑体" w:eastAsia="黑体" w:hAnsi="黑体" w:cs="Times New Roman"/>
          <w:sz w:val="30"/>
          <w:szCs w:val="30"/>
        </w:rPr>
      </w:pPr>
      <w:r>
        <w:rPr>
          <w:rFonts w:ascii="黑体" w:eastAsia="黑体" w:hAnsi="黑体" w:cs="Times New Roman" w:hint="eastAsia"/>
          <w:bCs/>
          <w:sz w:val="30"/>
          <w:szCs w:val="30"/>
        </w:rPr>
        <w:t>二、</w:t>
      </w:r>
      <w:bookmarkEnd w:id="153"/>
      <w:bookmarkEnd w:id="154"/>
      <w:r>
        <w:rPr>
          <w:rFonts w:ascii="黑体" w:eastAsia="黑体" w:hAnsi="黑体" w:cs="Times New Roman"/>
          <w:bCs/>
          <w:sz w:val="30"/>
          <w:szCs w:val="30"/>
        </w:rPr>
        <w:t>指导思想和</w:t>
      </w:r>
      <w:r>
        <w:rPr>
          <w:rFonts w:ascii="黑体" w:eastAsia="黑体" w:hAnsi="黑体" w:cs="Times New Roman" w:hint="eastAsia"/>
          <w:bCs/>
          <w:sz w:val="30"/>
          <w:szCs w:val="30"/>
        </w:rPr>
        <w:t>基本</w:t>
      </w:r>
      <w:r>
        <w:rPr>
          <w:rFonts w:ascii="黑体" w:eastAsia="黑体" w:hAnsi="黑体" w:cs="Times New Roman"/>
          <w:bCs/>
          <w:sz w:val="30"/>
          <w:szCs w:val="30"/>
        </w:rPr>
        <w:t>原则</w:t>
      </w:r>
      <w:bookmarkStart w:id="156" w:name="_Toc475369203"/>
      <w:bookmarkStart w:id="157" w:name="_Toc476822502"/>
      <w:bookmarkEnd w:id="155"/>
    </w:p>
    <w:p>
      <w:pPr>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（一）指导思想</w:t>
      </w:r>
      <w:bookmarkEnd w:id="156"/>
      <w:bookmarkEnd w:id="157"/>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以党的十八大五中全会提出的</w:t>
      </w:r>
      <w:r>
        <w:rPr>
          <w:rFonts w:ascii="仿宋" w:eastAsia="仿宋" w:hAnsi="仿宋" w:cs="Times New Roman" w:hint="eastAsia"/>
          <w:sz w:val="30"/>
          <w:szCs w:val="30"/>
        </w:rPr>
        <w:t>“</w:t>
      </w:r>
      <w:r>
        <w:rPr>
          <w:rFonts w:ascii="仿宋" w:eastAsia="仿宋" w:hAnsi="仿宋" w:cs="Times New Roman" w:hint="eastAsia"/>
          <w:sz w:val="30"/>
          <w:szCs w:val="30"/>
        </w:rPr>
        <w:t>创新、协调、绿色、开放、共享</w:t>
      </w:r>
      <w:r>
        <w:rPr>
          <w:rFonts w:ascii="仿宋" w:eastAsia="仿宋" w:hAnsi="仿宋" w:cs="Times New Roman" w:hint="eastAsia"/>
          <w:sz w:val="30"/>
          <w:szCs w:val="30"/>
        </w:rPr>
        <w:t>”</w:t>
      </w:r>
      <w:r>
        <w:rPr>
          <w:rFonts w:ascii="仿宋" w:eastAsia="仿宋" w:hAnsi="仿宋" w:cs="Times New Roman" w:hint="eastAsia"/>
          <w:sz w:val="30"/>
          <w:szCs w:val="30"/>
        </w:rPr>
        <w:t>的五大发展理念和科学发展观为指导，以教学为中心，以学生为根本，紧密围绕学校办学定位和建设地方性、应用型、有特色大学的目标，坚持管理育人、服务育人、环境育人、文化育人的工作保障理念，不断加快改革步伐，通过新建、改建、扩建，大幅提升教学保障能力，全方位地服务于教育教学、人才培养、学科研究、国际化合作办学，满足我校</w:t>
      </w:r>
      <w:r>
        <w:rPr>
          <w:rFonts w:ascii="仿宋" w:eastAsia="仿宋" w:hAnsi="仿宋" w:cs="Times New Roman" w:hint="eastAsia"/>
          <w:sz w:val="30"/>
          <w:szCs w:val="30"/>
        </w:rPr>
        <w:t>“</w:t>
      </w:r>
      <w:r>
        <w:rPr>
          <w:rFonts w:ascii="仿宋" w:eastAsia="仿宋" w:hAnsi="仿宋" w:cs="Times New Roman" w:hint="eastAsia"/>
          <w:sz w:val="30"/>
          <w:szCs w:val="30"/>
        </w:rPr>
        <w:t>十三五</w:t>
      </w:r>
      <w:r>
        <w:rPr>
          <w:rFonts w:ascii="仿宋" w:eastAsia="仿宋" w:hAnsi="仿宋" w:cs="Times New Roman" w:hint="eastAsia"/>
          <w:sz w:val="30"/>
          <w:szCs w:val="30"/>
        </w:rPr>
        <w:t>”</w:t>
      </w:r>
      <w:r>
        <w:rPr>
          <w:rFonts w:ascii="仿宋" w:eastAsia="仿宋" w:hAnsi="仿宋" w:cs="Times New Roman" w:hint="eastAsia"/>
          <w:sz w:val="30"/>
          <w:szCs w:val="30"/>
        </w:rPr>
        <w:t>期间建设发展需要，制定好教学功能基本完善、育人环境和谐优美、与学校快速可持续发展相适应的校园基本建设与条件保障建设规划，把学校建成生态化、数字化、开放化、安全化和谐校园。</w:t>
      </w:r>
      <w:bookmarkStart w:id="158" w:name="_Toc476822503"/>
      <w:bookmarkStart w:id="159" w:name="_Toc475369204"/>
    </w:p>
    <w:p>
      <w:pPr>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（二）基本原则</w:t>
      </w:r>
      <w:bookmarkEnd w:id="158"/>
      <w:bookmarkEnd w:id="159"/>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1.实用性原则。着重学校转型发展，立足服务教学、服务教师、服务学生，努力提升教学、科研和社会服务功能。</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2.整体性原则。尊重原有规划，立足校园现状，服务学校总体事业发展规划。体现学校内涵建设和外延发展相互融合，体现建筑整体风格与自然环境相协调。</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3.可持续发展原则。对新建楼宇要努力引进节能、低耗、自我循环、海绵城市等先进理念，努力打造绿色校园、智慧校园，促进人与自然和谐共生，实现校园建设的可持续发展。</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4.节约性原则。统筹规划，重点突出，提高资金使用效率，集中有限的资源，形成拳头效应。</w:t>
      </w:r>
      <w:bookmarkStart w:id="160" w:name="_Toc476822504"/>
    </w:p>
    <w:p>
      <w:pPr>
        <w:adjustRightInd w:val="0"/>
        <w:spacing w:line="560" w:lineRule="exact"/>
        <w:ind w:firstLine="600" w:firstLineChars="200"/>
        <w:contextualSpacing/>
        <w:jc w:val="left"/>
        <w:rPr>
          <w:rFonts w:ascii="黑体" w:eastAsia="黑体" w:hAnsi="黑体" w:cs="Times New Roman"/>
          <w:sz w:val="30"/>
          <w:szCs w:val="30"/>
        </w:rPr>
      </w:pPr>
      <w:r>
        <w:rPr>
          <w:rFonts w:ascii="黑体" w:eastAsia="黑体" w:hAnsi="黑体" w:cs="Times New Roman" w:hint="eastAsia"/>
          <w:bCs/>
          <w:sz w:val="30"/>
          <w:szCs w:val="30"/>
        </w:rPr>
        <w:t>三、目标任务</w:t>
      </w:r>
      <w:bookmarkEnd w:id="160"/>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到2020年，以创建有特色、地方性、应用型大学为目标，紧紧围绕学校转型发展、科研提升、创新创业、合格评估任务要求，深入贯彻可持续发展理念，将我校校园建设成为定位明确、布局合理、功能完善，体现保定地域文化特色和文化特征的现代化美丽校园。</w:t>
      </w:r>
      <w:bookmarkStart w:id="161" w:name="_Toc476822505"/>
      <w:bookmarkStart w:id="162" w:name="_Toc475369206"/>
    </w:p>
    <w:p>
      <w:pPr>
        <w:adjustRightInd w:val="0"/>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（一）</w:t>
      </w:r>
      <w:bookmarkEnd w:id="161"/>
      <w:r>
        <w:rPr>
          <w:rFonts w:ascii="楷体" w:eastAsia="楷体" w:hAnsi="楷体" w:cs="宋体" w:hint="eastAsia"/>
          <w:b/>
          <w:sz w:val="30"/>
          <w:szCs w:val="30"/>
        </w:rPr>
        <w:t>拓展学校发展空间</w:t>
      </w:r>
    </w:p>
    <w:p>
      <w:pPr>
        <w:widowControl/>
        <w:shd w:val="clear" w:color="auto" w:fill="FFFFFF"/>
        <w:spacing w:line="560" w:lineRule="exact"/>
        <w:ind w:firstLine="600" w:firstLineChars="200"/>
        <w:contextualSpacing/>
        <w:jc w:val="left"/>
        <w:rPr>
          <w:rFonts w:ascii="仿宋" w:eastAsia="仿宋" w:hAnsi="仿宋" w:cs="宋体"/>
          <w:sz w:val="30"/>
          <w:szCs w:val="30"/>
        </w:rPr>
      </w:pPr>
      <w:r>
        <w:rPr>
          <w:rFonts w:ascii="仿宋" w:eastAsia="仿宋" w:hAnsi="仿宋" w:cs="宋体" w:hint="eastAsia"/>
          <w:sz w:val="30"/>
          <w:szCs w:val="30"/>
        </w:rPr>
        <w:t>（1）根据国家、省有关高校发展的精神，积极争取保定市对学校用地的支持，</w:t>
      </w:r>
      <w:r>
        <w:rPr>
          <w:rFonts w:ascii="仿宋" w:eastAsia="仿宋" w:hAnsi="仿宋" w:cs="Times New Roman" w:hint="eastAsia"/>
          <w:sz w:val="30"/>
          <w:szCs w:val="30"/>
        </w:rPr>
        <w:t>新征学校西南方向土地300亩，分期建设教学用房、学生公寓、教研行政用房、实验室与研究中心、后勤设施用房，</w:t>
      </w:r>
      <w:r>
        <w:rPr>
          <w:rFonts w:ascii="仿宋" w:eastAsia="仿宋" w:hAnsi="仿宋" w:cs="宋体" w:hint="eastAsia"/>
          <w:sz w:val="30"/>
          <w:szCs w:val="30"/>
        </w:rPr>
        <w:t>为实现学校发展目标打下坚实基础。</w:t>
      </w:r>
    </w:p>
    <w:p>
      <w:pPr>
        <w:widowControl/>
        <w:shd w:val="clear" w:color="auto" w:fill="FFFFFF"/>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（2）努力争取保定市政府政策支持，筹建青年教师公寓楼，用于引进高层次、双师型人才。</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（3）</w:t>
      </w:r>
      <w:r>
        <w:rPr>
          <w:rFonts w:ascii="仿宋" w:eastAsia="仿宋" w:hAnsi="仿宋" w:cs="宋体" w:hint="eastAsia"/>
          <w:kern w:val="0"/>
          <w:sz w:val="30"/>
          <w:szCs w:val="30"/>
        </w:rPr>
        <w:t>完成校园二次规划设计。在原校园规划的基础上，对校园功能分区布局、新建房屋等重新调整确认，对校园文化建设、生态坏境建设提出概括性建议，并进行</w:t>
      </w:r>
      <w:r>
        <w:rPr>
          <w:rFonts w:ascii="仿宋" w:eastAsia="仿宋" w:hAnsi="仿宋" w:cs="Times New Roman" w:hint="eastAsia"/>
          <w:sz w:val="30"/>
          <w:szCs w:val="30"/>
        </w:rPr>
        <w:t>二次规化设计，</w:t>
      </w:r>
      <w:bookmarkStart w:id="163" w:name="_Toc476822506"/>
      <w:bookmarkEnd w:id="162"/>
      <w:r>
        <w:rPr>
          <w:rFonts w:ascii="仿宋" w:eastAsia="仿宋" w:hAnsi="仿宋" w:cs="Times New Roman" w:hint="eastAsia"/>
          <w:sz w:val="30"/>
          <w:szCs w:val="30"/>
        </w:rPr>
        <w:t>制作河北科技学院校园建设规划设计沙盘，努力打造更加完美的校园环境。</w:t>
      </w:r>
    </w:p>
    <w:p>
      <w:pPr>
        <w:widowControl/>
        <w:shd w:val="clear" w:color="auto" w:fill="FFFFFF"/>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（二）园林化校园建设</w:t>
      </w:r>
      <w:bookmarkEnd w:id="163"/>
    </w:p>
    <w:p>
      <w:pPr>
        <w:spacing w:line="560" w:lineRule="exact"/>
        <w:ind w:firstLine="600" w:firstLineChars="200"/>
        <w:contextualSpacing/>
        <w:jc w:val="left"/>
        <w:rPr>
          <w:rFonts w:ascii="仿宋" w:eastAsia="仿宋" w:hAnsi="仿宋" w:cs="Times New Roman"/>
          <w:b/>
          <w:bCs/>
          <w:sz w:val="30"/>
          <w:szCs w:val="30"/>
        </w:rPr>
      </w:pPr>
      <w:r>
        <w:rPr>
          <w:rFonts w:ascii="仿宋" w:eastAsia="仿宋" w:hAnsi="仿宋" w:cs="Times New Roman" w:hint="eastAsia"/>
          <w:b/>
          <w:bCs/>
          <w:sz w:val="30"/>
          <w:szCs w:val="30"/>
        </w:rPr>
        <w:t>1.道路绿化提升：</w:t>
      </w:r>
      <w:r>
        <w:rPr>
          <w:rFonts w:ascii="仿宋" w:eastAsia="仿宋" w:hAnsi="仿宋" w:cs="Times New Roman" w:hint="eastAsia"/>
          <w:sz w:val="30"/>
          <w:szCs w:val="30"/>
        </w:rPr>
        <w:t>在校园东大门主干道两侧法桐行道树的基础上，增配樱花、海棠、紫荆等树木，并辅以石楠、月季等灌木，结合绿地草坪，打造成层次清晰、季节色彩分明、规模效果明显的景观绿化带。</w:t>
      </w:r>
    </w:p>
    <w:p>
      <w:pPr>
        <w:spacing w:line="560" w:lineRule="exact"/>
        <w:ind w:firstLine="600" w:firstLineChars="200"/>
        <w:contextualSpacing/>
        <w:jc w:val="left"/>
        <w:rPr>
          <w:rFonts w:ascii="仿宋" w:eastAsia="仿宋" w:hAnsi="仿宋" w:cs="Times New Roman"/>
          <w:b/>
          <w:bCs/>
          <w:sz w:val="30"/>
          <w:szCs w:val="30"/>
        </w:rPr>
      </w:pPr>
      <w:r>
        <w:rPr>
          <w:rFonts w:ascii="仿宋" w:eastAsia="仿宋" w:hAnsi="仿宋" w:cs="Times New Roman" w:hint="eastAsia"/>
          <w:b/>
          <w:bCs/>
          <w:sz w:val="30"/>
          <w:szCs w:val="30"/>
        </w:rPr>
        <w:t>2.微地形景观：</w:t>
      </w:r>
      <w:r>
        <w:rPr>
          <w:rFonts w:ascii="仿宋" w:eastAsia="仿宋" w:hAnsi="仿宋" w:cs="Times New Roman" w:hint="eastAsia"/>
          <w:bCs/>
          <w:sz w:val="30"/>
          <w:szCs w:val="30"/>
        </w:rPr>
        <w:t>地点在五教东侧</w:t>
      </w:r>
      <w:r>
        <w:rPr>
          <w:rFonts w:ascii="仿宋" w:eastAsia="仿宋" w:hAnsi="仿宋" w:cs="Times New Roman" w:hint="eastAsia"/>
          <w:sz w:val="30"/>
          <w:szCs w:val="30"/>
        </w:rPr>
        <w:t>微地形景观带，要求区域空间布局错落有致，可以通过一些曲直线条、小组团和现代化造型等表现手法进行营造，达到以小见大、移步换景的效果。</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Calibri" w:hint="eastAsia"/>
          <w:b/>
          <w:bCs/>
          <w:sz w:val="30"/>
          <w:szCs w:val="30"/>
        </w:rPr>
        <w:t>3.水系：</w:t>
      </w:r>
      <w:r>
        <w:rPr>
          <w:rFonts w:ascii="仿宋" w:eastAsia="仿宋" w:hAnsi="仿宋" w:cs="Times New Roman" w:hint="eastAsia"/>
          <w:sz w:val="30"/>
          <w:szCs w:val="30"/>
        </w:rPr>
        <w:t>结合校园总体地形及水系现状，通过引进活水、驳岸搭桥、蓄水成湖、栽树植绿的方式，合理布局，呈现出溪流、沼泽、湖泊多种形式的水系统，增强校园环境的灵动感，并在人工湖内设音乐喷泉和灯光，结合岸边亭台楼榭，打照出一个水碧岸绿、鱼游鸟鸣的生态校园环境。</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b/>
          <w:sz w:val="30"/>
          <w:szCs w:val="30"/>
        </w:rPr>
        <w:t>4.</w:t>
      </w:r>
      <w:r>
        <w:rPr>
          <w:rFonts w:ascii="仿宋" w:eastAsia="仿宋" w:hAnsi="仿宋" w:cs="Times New Roman" w:hint="eastAsia"/>
          <w:b/>
          <w:bCs/>
          <w:sz w:val="30"/>
          <w:szCs w:val="30"/>
        </w:rPr>
        <w:t>广场：</w:t>
      </w:r>
      <w:r>
        <w:rPr>
          <w:rFonts w:ascii="仿宋" w:eastAsia="仿宋" w:hAnsi="仿宋" w:cs="Times New Roman" w:hint="eastAsia"/>
          <w:sz w:val="30"/>
          <w:szCs w:val="30"/>
        </w:rPr>
        <w:t>结合校园各区域功能分区不同，分别建设博雅休闲广场、工业4.0创新广场和文化创意广场，可以包含休闲、交流、文化活动、舒缓运动等功能。</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b/>
          <w:sz w:val="30"/>
          <w:szCs w:val="30"/>
        </w:rPr>
        <w:t>5.雕塑和小品：</w:t>
      </w:r>
      <w:r>
        <w:rPr>
          <w:rFonts w:ascii="仿宋" w:eastAsia="仿宋" w:hAnsi="仿宋" w:cs="Times New Roman" w:hint="eastAsia"/>
          <w:sz w:val="30"/>
          <w:szCs w:val="30"/>
        </w:rPr>
        <w:t>在道路两侧、广场、湖边等区域，结合我校学科特点及传统文化背景，设计雕塑和小品，以提高校园环境品质，反应校园文化内涵。</w:t>
      </w:r>
    </w:p>
    <w:p>
      <w:pPr>
        <w:spacing w:line="560" w:lineRule="exact"/>
        <w:ind w:firstLine="600" w:firstLineChars="200"/>
        <w:contextualSpacing/>
        <w:jc w:val="left"/>
        <w:rPr>
          <w:rFonts w:ascii="楷体" w:eastAsia="楷体" w:hAnsi="楷体" w:cs="Times New Roman"/>
          <w:sz w:val="30"/>
          <w:szCs w:val="30"/>
        </w:rPr>
      </w:pPr>
      <w:bookmarkStart w:id="164" w:name="_Toc476822507"/>
      <w:r>
        <w:rPr>
          <w:rFonts w:ascii="楷体" w:eastAsia="楷体" w:hAnsi="楷体" w:cs="Times New Roman" w:hint="eastAsia"/>
          <w:b/>
          <w:bCs/>
          <w:sz w:val="30"/>
          <w:szCs w:val="30"/>
        </w:rPr>
        <w:t>（三）校园文化建设</w:t>
      </w:r>
      <w:bookmarkEnd w:id="164"/>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校园文化建设要以凝练学院核心文化和彰显教育特色为主题，弘扬传统文化和现代高等教育相结合；校园文化建设要和学生思想政治教育结合起来，突出育人功能；校园文化建设要和人文素质教育相结合，突出培育素质功能；校园文化建设要和专业建设紧密相连，发挥专业在校园文化建设中的作用，彰显专业功能；校园文化建设要和学生的专业成长结合起来，突出导引功能。</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通过精神文化、行为文化、制度文化、环境文化的建设，形成健康向上、团结奋斗的校园育人文化特色。充分发挥硬件建设培育环境，软件建设培育灵魂的育人功能。加大校园文化建设的投入力度，创建大学生活动中心。坚持高品位、高起点、高层次的原则，做好校园文化建设规划，引导青年学生开展丰富多彩的文化科技活动。实施</w:t>
      </w:r>
      <w:r>
        <w:rPr>
          <w:rFonts w:ascii="仿宋" w:eastAsia="仿宋" w:hAnsi="仿宋" w:cs="Times New Roman" w:hint="eastAsia"/>
          <w:sz w:val="30"/>
          <w:szCs w:val="30"/>
        </w:rPr>
        <w:t>“</w:t>
      </w:r>
      <w:r>
        <w:rPr>
          <w:rFonts w:ascii="仿宋" w:eastAsia="仿宋" w:hAnsi="仿宋" w:cs="Times New Roman" w:hint="eastAsia"/>
          <w:sz w:val="30"/>
          <w:szCs w:val="30"/>
        </w:rPr>
        <w:t>精品社团打造工程</w:t>
      </w:r>
      <w:r>
        <w:rPr>
          <w:rFonts w:ascii="仿宋" w:eastAsia="仿宋" w:hAnsi="仿宋" w:cs="Times New Roman" w:hint="eastAsia"/>
          <w:sz w:val="30"/>
          <w:szCs w:val="30"/>
        </w:rPr>
        <w:t>”</w:t>
      </w:r>
      <w:r>
        <w:rPr>
          <w:rFonts w:ascii="仿宋" w:eastAsia="仿宋" w:hAnsi="仿宋" w:cs="Times New Roman" w:hint="eastAsia"/>
          <w:sz w:val="30"/>
          <w:szCs w:val="30"/>
        </w:rPr>
        <w:t>，构建渗透面广、组织规范、富有特色的学生社团体系。重视学生公寓文化建设，营造良好的生活环境，努力把学生公寓建成学生自我教育、自我管理、自我服务的育人场所。</w:t>
      </w:r>
      <w:bookmarkStart w:id="165" w:name="_Toc476822508"/>
      <w:bookmarkStart w:id="166" w:name="_Toc476822509"/>
    </w:p>
    <w:p>
      <w:pPr>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（四）信息化校园建设</w:t>
      </w:r>
      <w:bookmarkEnd w:id="165"/>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1.现代教育技术方面。整合现有资源，实现全校有关教室监控全覆盖、有声化、多媒体化，为教育教学提供全方位服务。</w:t>
      </w:r>
    </w:p>
    <w:p>
      <w:pPr>
        <w:widowControl/>
        <w:shd w:val="clear" w:color="auto" w:fill="FFFFFF"/>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2.升级基础设施。全面建成新一代校园网。校园网覆盖率保持100%。提高校园网无线建设与管理水平。无线网覆盖全校所有建筑，以及校园内主要室外空间。加强一卡通建设。加强数据机房建设。</w:t>
      </w:r>
    </w:p>
    <w:p>
      <w:pPr>
        <w:widowControl/>
        <w:shd w:val="clear" w:color="auto" w:fill="FFFFFF"/>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3.开发基础服务。加强信息技术运维服务体系和综合信息服务建设，提升服务师生和地方社会能力。</w:t>
      </w:r>
    </w:p>
    <w:p>
      <w:pPr>
        <w:widowControl/>
        <w:shd w:val="clear" w:color="auto" w:fill="FFFFFF"/>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4.丰富应用服务。建设智慧课堂，开发</w:t>
      </w:r>
      <w:r>
        <w:rPr>
          <w:rFonts w:ascii="仿宋" w:eastAsia="仿宋" w:hAnsi="仿宋" w:cs="Times New Roman" w:hint="eastAsia"/>
          <w:sz w:val="30"/>
          <w:szCs w:val="30"/>
        </w:rPr>
        <w:t>“</w:t>
      </w:r>
      <w:r>
        <w:rPr>
          <w:rFonts w:ascii="仿宋" w:eastAsia="仿宋" w:hAnsi="仿宋" w:cs="Times New Roman" w:hint="eastAsia"/>
          <w:sz w:val="30"/>
          <w:szCs w:val="30"/>
        </w:rPr>
        <w:t>数字离校系统</w:t>
      </w:r>
      <w:r>
        <w:rPr>
          <w:rFonts w:ascii="仿宋" w:eastAsia="仿宋" w:hAnsi="仿宋" w:cs="Times New Roman" w:hint="eastAsia"/>
          <w:sz w:val="30"/>
          <w:szCs w:val="30"/>
        </w:rPr>
        <w:t>”</w:t>
      </w:r>
      <w:r>
        <w:rPr>
          <w:rFonts w:ascii="仿宋" w:eastAsia="仿宋" w:hAnsi="仿宋" w:cs="Times New Roman" w:hint="eastAsia"/>
          <w:sz w:val="30"/>
          <w:szCs w:val="30"/>
        </w:rPr>
        <w:t>，建设</w:t>
      </w:r>
      <w:r>
        <w:rPr>
          <w:rFonts w:ascii="仿宋" w:eastAsia="仿宋" w:hAnsi="仿宋" w:cs="Times New Roman" w:hint="eastAsia"/>
          <w:sz w:val="30"/>
          <w:szCs w:val="30"/>
        </w:rPr>
        <w:t>“</w:t>
      </w:r>
      <w:r>
        <w:rPr>
          <w:rFonts w:ascii="仿宋" w:eastAsia="仿宋" w:hAnsi="仿宋" w:cs="Times New Roman" w:hint="eastAsia"/>
          <w:sz w:val="30"/>
          <w:szCs w:val="30"/>
        </w:rPr>
        <w:t>毕业生自助打印系统</w:t>
      </w:r>
      <w:r>
        <w:rPr>
          <w:rFonts w:ascii="仿宋" w:eastAsia="仿宋" w:hAnsi="仿宋" w:cs="Times New Roman" w:hint="eastAsia"/>
          <w:sz w:val="30"/>
          <w:szCs w:val="30"/>
        </w:rPr>
        <w:t>”</w:t>
      </w:r>
      <w:r>
        <w:rPr>
          <w:rFonts w:ascii="仿宋" w:eastAsia="仿宋" w:hAnsi="仿宋" w:cs="Times New Roman" w:hint="eastAsia"/>
          <w:sz w:val="30"/>
          <w:szCs w:val="30"/>
        </w:rPr>
        <w:t>，建设校情分析系统，探索拓展新技术条件下校园网功能，建立校园安全智能管理服务系统；</w:t>
      </w:r>
      <w:r>
        <w:rPr>
          <w:rFonts w:ascii="仿宋" w:eastAsia="仿宋" w:hAnsi="仿宋" w:cs="宋体" w:hint="eastAsia"/>
          <w:kern w:val="0"/>
          <w:sz w:val="30"/>
          <w:szCs w:val="30"/>
        </w:rPr>
        <w:t>面向师生打造基于流程管理的网上办事大厅和一站式服务。</w:t>
      </w:r>
    </w:p>
    <w:p>
      <w:pPr>
        <w:adjustRightInd w:val="0"/>
        <w:spacing w:line="560" w:lineRule="exact"/>
        <w:ind w:firstLine="600" w:firstLineChars="200"/>
        <w:contextualSpacing/>
        <w:jc w:val="left"/>
        <w:rPr>
          <w:rFonts w:ascii="仿宋" w:eastAsia="仿宋" w:hAnsi="仿宋" w:cs="宋体"/>
          <w:kern w:val="0"/>
          <w:sz w:val="30"/>
          <w:szCs w:val="30"/>
        </w:rPr>
      </w:pPr>
      <w:r>
        <w:rPr>
          <w:rFonts w:ascii="仿宋" w:eastAsia="仿宋" w:hAnsi="仿宋" w:cs="Times New Roman" w:hint="eastAsia"/>
          <w:sz w:val="30"/>
          <w:szCs w:val="30"/>
        </w:rPr>
        <w:t>5.提升数字资源质量。结合学校转型发展和学科专业建设需要，有针对性的引进和自建数字资源数据库，促进学校教科研工作的发展。</w:t>
      </w:r>
      <w:r>
        <w:rPr>
          <w:rFonts w:ascii="仿宋" w:eastAsia="仿宋" w:hAnsi="仿宋" w:cs="宋体" w:hint="eastAsia"/>
          <w:kern w:val="0"/>
          <w:sz w:val="30"/>
          <w:szCs w:val="30"/>
        </w:rPr>
        <w:t>完成便捷互动的网络教学平台建设，完善网络教学资源集成和统一管理，为师生提供教学资源参考服务。</w:t>
      </w:r>
    </w:p>
    <w:p>
      <w:pPr>
        <w:adjustRightInd w:val="0"/>
        <w:spacing w:line="560" w:lineRule="exact"/>
        <w:ind w:firstLine="600" w:firstLineChars="200"/>
        <w:contextualSpacing/>
        <w:jc w:val="left"/>
        <w:rPr>
          <w:rFonts w:ascii="仿宋" w:eastAsia="仿宋" w:hAnsi="仿宋" w:cs="宋体"/>
          <w:kern w:val="0"/>
          <w:sz w:val="30"/>
          <w:szCs w:val="30"/>
        </w:rPr>
      </w:pPr>
      <w:bookmarkStart w:id="167" w:name="_Toc475369208"/>
      <w:r>
        <w:rPr>
          <w:rFonts w:ascii="仿宋" w:eastAsia="仿宋" w:hAnsi="仿宋" w:cs="宋体" w:hint="eastAsia"/>
          <w:kern w:val="0"/>
          <w:sz w:val="30"/>
          <w:szCs w:val="30"/>
        </w:rPr>
        <w:t>6.加强信息网络安全建设，对校园网、核心信息系统、关键基础设施进行全面监测，并对校园网络安全态势进行全面可视化展示、趋势分析、异常检测等。建设异地容灾中心，实现信息数据的容灾备份，提高信息数据的高可靠性。</w:t>
      </w:r>
    </w:p>
    <w:p>
      <w:pPr>
        <w:adjustRightInd w:val="0"/>
        <w:spacing w:line="560" w:lineRule="exact"/>
        <w:ind w:firstLine="600" w:firstLineChars="200"/>
        <w:contextualSpacing/>
        <w:jc w:val="left"/>
        <w:rPr>
          <w:rFonts w:ascii="仿宋" w:eastAsia="仿宋" w:hAnsi="仿宋" w:cs="宋体"/>
          <w:kern w:val="0"/>
          <w:sz w:val="30"/>
          <w:szCs w:val="30"/>
        </w:rPr>
      </w:pPr>
      <w:r>
        <w:rPr>
          <w:rFonts w:ascii="仿宋" w:eastAsia="仿宋" w:hAnsi="仿宋" w:cs="宋体" w:hint="eastAsia"/>
          <w:kern w:val="0"/>
          <w:sz w:val="30"/>
          <w:szCs w:val="30"/>
        </w:rPr>
        <w:t>7.建设高安全性、高可靠性的模块化校园网数据中心机房；建设</w:t>
      </w:r>
      <w:r>
        <w:rPr>
          <w:rFonts w:ascii="仿宋" w:eastAsia="仿宋" w:hAnsi="仿宋" w:cs="宋体" w:hint="eastAsia"/>
          <w:kern w:val="0"/>
          <w:sz w:val="30"/>
          <w:szCs w:val="30"/>
        </w:rPr>
        <w:t>“</w:t>
      </w:r>
      <w:r>
        <w:rPr>
          <w:rFonts w:ascii="仿宋" w:eastAsia="仿宋" w:hAnsi="仿宋" w:cs="宋体" w:hint="eastAsia"/>
          <w:kern w:val="0"/>
          <w:sz w:val="30"/>
          <w:szCs w:val="30"/>
        </w:rPr>
        <w:t>办公自动化OA系统</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数字离校系统</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毕业生自助打印系统</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w:t>
      </w:r>
      <w:r>
        <w:rPr>
          <w:rFonts w:ascii="仿宋" w:eastAsia="仿宋" w:hAnsi="仿宋" w:cs="宋体" w:hint="eastAsia"/>
          <w:kern w:val="0"/>
          <w:sz w:val="30"/>
          <w:szCs w:val="30"/>
        </w:rPr>
        <w:t>校情分析系统</w:t>
      </w:r>
      <w:r>
        <w:rPr>
          <w:rFonts w:ascii="仿宋" w:eastAsia="仿宋" w:hAnsi="仿宋" w:cs="宋体" w:hint="eastAsia"/>
          <w:kern w:val="0"/>
          <w:sz w:val="30"/>
          <w:szCs w:val="30"/>
        </w:rPr>
        <w:t>”</w:t>
      </w:r>
      <w:r>
        <w:rPr>
          <w:rFonts w:ascii="仿宋" w:eastAsia="仿宋" w:hAnsi="仿宋" w:cs="宋体" w:hint="eastAsia"/>
          <w:kern w:val="0"/>
          <w:sz w:val="30"/>
          <w:szCs w:val="30"/>
        </w:rPr>
        <w:t>等应用系统，完善学校业务系统的集成，构建云数据中心，实现公共数据高度集成和深入分析与挖掘，为学校各项决策提供数据支持。</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8.加强图书信息建设。进一步充实院部资料室的实力，优化专题书库的建设，试点建设专题分馆；持续提升资源利用服务水平。</w:t>
      </w:r>
      <w:bookmarkEnd w:id="167"/>
    </w:p>
    <w:p>
      <w:pPr>
        <w:spacing w:line="560" w:lineRule="exact"/>
        <w:ind w:firstLine="600" w:firstLineChars="200"/>
        <w:contextualSpacing/>
        <w:jc w:val="left"/>
        <w:rPr>
          <w:rFonts w:ascii="楷体" w:eastAsia="楷体" w:hAnsi="楷体" w:cs="Times New Roman"/>
          <w:sz w:val="30"/>
          <w:szCs w:val="30"/>
        </w:rPr>
      </w:pPr>
      <w:r>
        <w:rPr>
          <w:rFonts w:ascii="楷体" w:eastAsia="楷体" w:hAnsi="楷体" w:cs="Times New Roman" w:hint="eastAsia"/>
          <w:b/>
          <w:bCs/>
          <w:sz w:val="30"/>
          <w:szCs w:val="30"/>
        </w:rPr>
        <w:t>（五）安全化校园建设</w:t>
      </w:r>
      <w:bookmarkEnd w:id="166"/>
    </w:p>
    <w:p>
      <w:pPr>
        <w:widowControl/>
        <w:shd w:val="clear" w:color="auto" w:fill="FFFFFF"/>
        <w:spacing w:line="560" w:lineRule="exact"/>
        <w:ind w:firstLine="600" w:firstLineChars="200"/>
        <w:contextualSpacing/>
        <w:jc w:val="left"/>
        <w:rPr>
          <w:rFonts w:ascii="仿宋" w:eastAsia="仿宋" w:hAnsi="仿宋" w:cs="仿宋"/>
          <w:kern w:val="0"/>
          <w:sz w:val="30"/>
          <w:szCs w:val="30"/>
        </w:rPr>
      </w:pPr>
      <w:r>
        <w:rPr>
          <w:rFonts w:ascii="仿宋" w:eastAsia="仿宋" w:hAnsi="仿宋" w:cs="Times New Roman" w:hint="eastAsia"/>
          <w:sz w:val="30"/>
          <w:szCs w:val="30"/>
        </w:rPr>
        <w:t>针对校园教学区域、实验室区域、生活区域不同特点，建立有效的安全危机管理体制，建立安全保障体系；以人防、物防、技防为载体，切实加强防火、防盗、防诈骗教育工作，不断强化师生自我安全防范意识与相关技能，重点开展如下工作。</w:t>
      </w:r>
    </w:p>
    <w:p>
      <w:pPr>
        <w:spacing w:line="560" w:lineRule="exact"/>
        <w:ind w:firstLine="600" w:firstLineChars="200"/>
        <w:contextualSpacing/>
        <w:jc w:val="left"/>
        <w:rPr>
          <w:rFonts w:ascii="仿宋" w:eastAsia="仿宋" w:hAnsi="仿宋" w:cs="仿宋"/>
          <w:sz w:val="30"/>
          <w:szCs w:val="30"/>
        </w:rPr>
      </w:pPr>
      <w:r>
        <w:rPr>
          <w:rFonts w:ascii="仿宋" w:eastAsia="仿宋" w:hAnsi="仿宋" w:cs="Times New Roman" w:hint="eastAsia"/>
          <w:bCs/>
          <w:sz w:val="30"/>
          <w:szCs w:val="30"/>
        </w:rPr>
        <w:t>1.</w:t>
      </w:r>
      <w:r>
        <w:rPr>
          <w:rFonts w:ascii="仿宋" w:eastAsia="仿宋" w:hAnsi="仿宋" w:cs="Times New Roman" w:hint="eastAsia"/>
          <w:sz w:val="30"/>
          <w:szCs w:val="30"/>
        </w:rPr>
        <w:t>基本完成</w:t>
      </w:r>
      <w:r>
        <w:rPr>
          <w:rFonts w:ascii="仿宋" w:eastAsia="仿宋" w:hAnsi="仿宋" w:cs="仿宋" w:hint="eastAsia"/>
          <w:sz w:val="30"/>
          <w:szCs w:val="30"/>
        </w:rPr>
        <w:t>消防安全控制中心建设。重点部位，要害部位和人员密集场所分别建立消防安全控制室，各控制室与学校消防控制中心联网，实现学校消防安全的集中、重点、有效防控。</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bCs/>
          <w:sz w:val="30"/>
          <w:szCs w:val="30"/>
        </w:rPr>
        <w:t>2.加</w:t>
      </w:r>
      <w:r>
        <w:rPr>
          <w:rFonts w:ascii="仿宋" w:eastAsia="仿宋" w:hAnsi="仿宋" w:cs="Times New Roman" w:hint="eastAsia"/>
          <w:sz w:val="30"/>
          <w:szCs w:val="30"/>
        </w:rPr>
        <w:t>强校园安全监控。结合数字化校园建设，进一步加大校门出入人员与车辆有效管控及夜间巡逻力度，全方位打造安全校园。</w:t>
      </w:r>
    </w:p>
    <w:p>
      <w:pPr>
        <w:spacing w:line="560" w:lineRule="exact"/>
        <w:ind w:firstLine="600" w:firstLineChars="200"/>
        <w:contextualSpacing/>
        <w:jc w:val="left"/>
        <w:rPr>
          <w:rFonts w:ascii="仿宋" w:eastAsia="仿宋" w:hAnsi="仿宋" w:cs="仿宋"/>
          <w:sz w:val="30"/>
          <w:szCs w:val="30"/>
        </w:rPr>
      </w:pPr>
      <w:r>
        <w:rPr>
          <w:rFonts w:ascii="仿宋" w:eastAsia="仿宋" w:hAnsi="仿宋" w:cs="仿宋" w:hint="eastAsia"/>
          <w:sz w:val="30"/>
          <w:szCs w:val="30"/>
        </w:rPr>
        <w:t>3.规划并基本完成机动车辆与教学区分离项目；停车场扩容项目，完善交通安全设施、标识。</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仿宋" w:hint="eastAsia"/>
          <w:sz w:val="30"/>
          <w:szCs w:val="30"/>
        </w:rPr>
        <w:t>4.完成高清监控的更新改造，实现高清覆盖率达到95%以上。</w:t>
      </w:r>
      <w:bookmarkStart w:id="168" w:name="_Toc476822510"/>
    </w:p>
    <w:p>
      <w:pPr>
        <w:spacing w:line="560" w:lineRule="exact"/>
        <w:ind w:firstLine="600" w:firstLineChars="200"/>
        <w:contextualSpacing/>
        <w:jc w:val="left"/>
        <w:rPr>
          <w:rFonts w:ascii="楷体" w:eastAsia="楷体" w:hAnsi="楷体" w:cs="Times New Roman"/>
          <w:b/>
          <w:bCs/>
          <w:sz w:val="30"/>
          <w:szCs w:val="30"/>
        </w:rPr>
      </w:pPr>
      <w:r>
        <w:rPr>
          <w:rFonts w:ascii="楷体" w:eastAsia="楷体" w:hAnsi="楷体" w:cs="Times New Roman" w:hint="eastAsia"/>
          <w:b/>
          <w:bCs/>
          <w:sz w:val="30"/>
          <w:szCs w:val="30"/>
        </w:rPr>
        <w:t>（六）基本建设任务</w:t>
      </w:r>
      <w:bookmarkEnd w:id="168"/>
    </w:p>
    <w:p>
      <w:pPr>
        <w:spacing w:line="560" w:lineRule="exact"/>
        <w:ind w:firstLine="645"/>
        <w:rPr>
          <w:rFonts w:ascii="仿宋" w:eastAsia="仿宋" w:hAnsi="仿宋" w:cs="Times New Roman"/>
          <w:sz w:val="30"/>
          <w:szCs w:val="30"/>
        </w:rPr>
      </w:pPr>
      <w:r>
        <w:rPr>
          <w:rFonts w:ascii="仿宋" w:eastAsia="仿宋" w:hAnsi="仿宋" w:cs="Times New Roman" w:hint="eastAsia"/>
          <w:sz w:val="30"/>
          <w:szCs w:val="30"/>
        </w:rPr>
        <w:t>投资6.5亿至7.5亿元，适时启动室内体育场馆、大学生活动中心、学生宿舍楼工程项目建设，十三五期间，计划新增建筑面积23万平方米，总体建筑面积达到58万平方米。</w:t>
      </w:r>
      <w:bookmarkStart w:id="169" w:name="_Toc476822511"/>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建设综合训练场、篮球场、排球场、网球场、乒乓球场，扩大校内运动场地，完善配套器材、设施，为学生体育锻炼、日常活动提供保障（详见表一）。</w:t>
      </w:r>
    </w:p>
    <w:p>
      <w:pPr>
        <w:spacing w:line="560" w:lineRule="exact"/>
        <w:ind w:firstLine="645"/>
        <w:rPr>
          <w:rFonts w:ascii="楷体" w:eastAsia="楷体" w:hAnsi="楷体" w:cs="Times New Roman"/>
          <w:sz w:val="30"/>
          <w:szCs w:val="30"/>
        </w:rPr>
      </w:pPr>
      <w:r>
        <w:rPr>
          <w:rFonts w:ascii="楷体" w:eastAsia="楷体" w:hAnsi="楷体" w:cs="Times New Roman" w:hint="eastAsia"/>
          <w:b/>
          <w:bCs/>
          <w:sz w:val="30"/>
          <w:szCs w:val="30"/>
        </w:rPr>
        <w:t>（七）</w:t>
      </w:r>
      <w:r>
        <w:rPr>
          <w:rFonts w:ascii="楷体" w:eastAsia="楷体" w:hAnsi="楷体" w:cs="Times New Roman"/>
          <w:b/>
          <w:bCs/>
          <w:sz w:val="30"/>
          <w:szCs w:val="30"/>
        </w:rPr>
        <w:t>基础设施维修改造</w:t>
      </w:r>
      <w:r>
        <w:rPr>
          <w:rFonts w:ascii="楷体" w:eastAsia="楷体" w:hAnsi="楷体" w:cs="Times New Roman" w:hint="eastAsia"/>
          <w:b/>
          <w:bCs/>
          <w:sz w:val="30"/>
          <w:szCs w:val="30"/>
        </w:rPr>
        <w:t>任务</w:t>
      </w:r>
      <w:bookmarkEnd w:id="169"/>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1.分步骤基本完成水电暖管网改造工程项目。完成热力管网整体改造和部分楼宇串联改并联工程，对现有楼宇进行节能改造，打造绿色生态建筑。</w:t>
      </w:r>
    </w:p>
    <w:p>
      <w:pPr>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2.校园绿化环境提升改造工程。以</w:t>
      </w:r>
      <w:r>
        <w:rPr>
          <w:rFonts w:ascii="仿宋" w:eastAsia="仿宋" w:hAnsi="仿宋" w:cs="Times New Roman" w:hint="eastAsia"/>
          <w:sz w:val="30"/>
          <w:szCs w:val="30"/>
        </w:rPr>
        <w:t>“</w:t>
      </w:r>
      <w:r>
        <w:rPr>
          <w:rFonts w:ascii="仿宋" w:eastAsia="仿宋" w:hAnsi="仿宋" w:cs="Times New Roman" w:hint="eastAsia"/>
          <w:sz w:val="30"/>
          <w:szCs w:val="30"/>
        </w:rPr>
        <w:t>三季有花，四季常青</w:t>
      </w:r>
      <w:r>
        <w:rPr>
          <w:rFonts w:ascii="仿宋" w:eastAsia="仿宋" w:hAnsi="仿宋" w:cs="Times New Roman" w:hint="eastAsia"/>
          <w:sz w:val="30"/>
          <w:szCs w:val="30"/>
        </w:rPr>
        <w:t>”</w:t>
      </w:r>
      <w:r>
        <w:rPr>
          <w:rFonts w:ascii="仿宋" w:eastAsia="仿宋" w:hAnsi="仿宋" w:cs="Times New Roman" w:hint="eastAsia"/>
          <w:sz w:val="30"/>
          <w:szCs w:val="30"/>
        </w:rPr>
        <w:t>为目标，分步实施校园绿化环境改造提升改造工程。建设景观湖2个，种植以法桐、垂柳、国槐为主，辅以碧桃、海棠、玉兰、樱花、山楂、五角枫、榆叶梅等乔木达4000棵以上，冬青、黄杨、月季、鸢尾等6万株灌木、花卉做点缀，新增绿地8万平方米，校园绿化覆盖率达到45%以上。</w:t>
      </w:r>
      <w:bookmarkStart w:id="170" w:name="_Toc476822512"/>
      <w:bookmarkStart w:id="171" w:name="_Toc475440712"/>
      <w:bookmarkStart w:id="172" w:name="_Toc475369210"/>
    </w:p>
    <w:p>
      <w:pPr>
        <w:spacing w:line="560" w:lineRule="exact"/>
        <w:ind w:firstLine="645"/>
        <w:jc w:val="center"/>
        <w:rPr>
          <w:rFonts w:ascii="黑体" w:eastAsia="黑体" w:hAnsi="黑体" w:cs="Times New Roman"/>
          <w:szCs w:val="21"/>
        </w:rPr>
      </w:pPr>
      <w:r>
        <w:rPr>
          <w:rFonts w:ascii="黑体" w:eastAsia="黑体" w:hAnsi="黑体" w:cs="Times New Roman" w:hint="eastAsia"/>
          <w:szCs w:val="21"/>
        </w:rPr>
        <w:t>表一：  十三五期间主要计划建设项目</w:t>
      </w:r>
    </w:p>
    <w:tbl>
      <w:tblPr>
        <w:tblStyle w:val="TableNormal"/>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567"/>
        <w:gridCol w:w="1985"/>
        <w:gridCol w:w="3066"/>
        <w:gridCol w:w="1186"/>
        <w:gridCol w:w="1559"/>
      </w:tblGrid>
      <w:tr>
        <w:tblPrEx>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c>
          <w:tcPr>
            <w:tcW w:w="567" w:type="dxa"/>
            <w:tcBorders>
              <w:left w:val="nil"/>
            </w:tcBorders>
            <w:shd w:val="clear" w:color="auto" w:fill="D9D9D9"/>
            <w:vAlign w:val="center"/>
          </w:tcPr>
          <w:p>
            <w:pPr>
              <w:jc w:val="center"/>
              <w:rPr>
                <w:rFonts w:ascii="黑体" w:eastAsia="黑体" w:hAnsi="黑体" w:cs="Times New Roman"/>
                <w:szCs w:val="21"/>
              </w:rPr>
            </w:pPr>
            <w:r>
              <w:rPr>
                <w:rFonts w:ascii="黑体" w:eastAsia="黑体" w:hAnsi="黑体" w:cs="Times New Roman" w:hint="eastAsia"/>
                <w:szCs w:val="21"/>
              </w:rPr>
              <w:t>序号</w:t>
            </w:r>
          </w:p>
        </w:tc>
        <w:tc>
          <w:tcPr>
            <w:tcW w:w="1985" w:type="dxa"/>
            <w:shd w:val="clear" w:color="auto" w:fill="D9D9D9"/>
            <w:vAlign w:val="center"/>
          </w:tcPr>
          <w:p>
            <w:pPr>
              <w:jc w:val="center"/>
              <w:rPr>
                <w:rFonts w:ascii="黑体" w:eastAsia="黑体" w:hAnsi="黑体" w:cs="Times New Roman"/>
                <w:szCs w:val="21"/>
              </w:rPr>
            </w:pPr>
            <w:r>
              <w:rPr>
                <w:rFonts w:ascii="黑体" w:eastAsia="黑体" w:hAnsi="黑体" w:cs="Times New Roman" w:hint="eastAsia"/>
                <w:szCs w:val="21"/>
              </w:rPr>
              <w:t>建设项目</w:t>
            </w:r>
          </w:p>
        </w:tc>
        <w:tc>
          <w:tcPr>
            <w:tcW w:w="3066" w:type="dxa"/>
            <w:shd w:val="clear" w:color="auto" w:fill="D9D9D9"/>
            <w:vAlign w:val="center"/>
          </w:tcPr>
          <w:p>
            <w:pPr>
              <w:jc w:val="center"/>
              <w:rPr>
                <w:rFonts w:ascii="黑体" w:eastAsia="黑体" w:hAnsi="黑体" w:cs="Times New Roman"/>
                <w:szCs w:val="21"/>
              </w:rPr>
            </w:pPr>
            <w:r>
              <w:rPr>
                <w:rFonts w:ascii="黑体" w:eastAsia="黑体" w:hAnsi="黑体" w:cs="Times New Roman" w:hint="eastAsia"/>
                <w:szCs w:val="21"/>
              </w:rPr>
              <w:t>建设规划</w:t>
            </w:r>
          </w:p>
        </w:tc>
        <w:tc>
          <w:tcPr>
            <w:tcW w:w="1186" w:type="dxa"/>
            <w:shd w:val="clear" w:color="auto" w:fill="D9D9D9"/>
            <w:vAlign w:val="center"/>
          </w:tcPr>
          <w:p>
            <w:pPr>
              <w:jc w:val="center"/>
              <w:rPr>
                <w:rFonts w:ascii="黑体" w:eastAsia="黑体" w:hAnsi="黑体" w:cs="Times New Roman"/>
                <w:szCs w:val="21"/>
              </w:rPr>
            </w:pPr>
            <w:r>
              <w:rPr>
                <w:rFonts w:ascii="黑体" w:eastAsia="黑体" w:hAnsi="黑体" w:cs="Times New Roman" w:hint="eastAsia"/>
                <w:szCs w:val="21"/>
              </w:rPr>
              <w:t>预计投资</w:t>
            </w:r>
          </w:p>
          <w:p>
            <w:pPr>
              <w:jc w:val="center"/>
              <w:rPr>
                <w:rFonts w:ascii="黑体" w:eastAsia="黑体" w:hAnsi="黑体" w:cs="Times New Roman"/>
                <w:szCs w:val="21"/>
              </w:rPr>
            </w:pPr>
            <w:r>
              <w:rPr>
                <w:rFonts w:ascii="黑体" w:eastAsia="黑体" w:hAnsi="黑体" w:cs="Times New Roman" w:hint="eastAsia"/>
                <w:szCs w:val="21"/>
              </w:rPr>
              <w:t>（万元）</w:t>
            </w:r>
          </w:p>
        </w:tc>
        <w:tc>
          <w:tcPr>
            <w:tcW w:w="1559" w:type="dxa"/>
            <w:tcBorders>
              <w:right w:val="nil"/>
            </w:tcBorders>
            <w:shd w:val="clear" w:color="auto" w:fill="D9D9D9"/>
            <w:vAlign w:val="center"/>
          </w:tcPr>
          <w:p>
            <w:pPr>
              <w:jc w:val="center"/>
              <w:rPr>
                <w:rFonts w:ascii="黑体" w:eastAsia="黑体" w:hAnsi="黑体" w:cs="Times New Roman"/>
                <w:szCs w:val="21"/>
              </w:rPr>
            </w:pPr>
            <w:r>
              <w:rPr>
                <w:rFonts w:ascii="黑体" w:eastAsia="黑体" w:hAnsi="黑体" w:cs="Times New Roman" w:hint="eastAsia"/>
                <w:szCs w:val="21"/>
              </w:rPr>
              <w:t>计划完成时间</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1</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第六综合教学楼</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10万平方米</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22450.55</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2017年9月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2</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行政用房</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0.8万平方米</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500.00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2017年9月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3</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第七综合教学楼</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6.4万平方米</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14371.52</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2020年9月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4</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完善教学基础设施</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数字校园、智慧校园建设</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1500.00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2020年9月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5</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13号学生公寓楼</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5.6万平方米</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12575.08</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2019年9月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6</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综合训练场</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新建篮球场12个、排球场6个、乒乓球场4个、网球场2个</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120.00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2018年9月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7</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后勤保障中心</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0.9万平方米</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2000.00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2020年9月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8</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新征土地</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300亩</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18000.00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2019年11月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9</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景观湖</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2个</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60.00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2018年9月</w:t>
            </w:r>
          </w:p>
        </w:tc>
      </w:tr>
      <w:tr>
        <w:tblPrEx>
          <w:tblW w:w="8363" w:type="dxa"/>
          <w:tblInd w:w="250" w:type="dxa"/>
          <w:tblLayout w:type="fixed"/>
          <w:tblCellMar>
            <w:top w:w="0" w:type="dxa"/>
            <w:left w:w="108" w:type="dxa"/>
            <w:bottom w:w="0" w:type="dxa"/>
            <w:right w:w="108" w:type="dxa"/>
          </w:tblCellMar>
          <w:tblLook w:val="0000"/>
        </w:tblPrEx>
        <w:tc>
          <w:tcPr>
            <w:tcW w:w="567" w:type="dxa"/>
            <w:tcBorders>
              <w:left w:val="nil"/>
            </w:tcBorders>
            <w:vAlign w:val="center"/>
          </w:tcPr>
          <w:p>
            <w:pPr>
              <w:jc w:val="center"/>
              <w:rPr>
                <w:rFonts w:ascii="宋体" w:eastAsia="宋体" w:hAnsi="宋体" w:cs="Times New Roman"/>
                <w:szCs w:val="21"/>
              </w:rPr>
            </w:pPr>
            <w:r>
              <w:rPr>
                <w:rFonts w:ascii="宋体" w:eastAsia="宋体" w:hAnsi="宋体" w:cs="Times New Roman" w:hint="eastAsia"/>
                <w:szCs w:val="21"/>
              </w:rPr>
              <w:t>10</w:t>
            </w:r>
          </w:p>
        </w:tc>
        <w:tc>
          <w:tcPr>
            <w:tcW w:w="1985" w:type="dxa"/>
            <w:vAlign w:val="center"/>
          </w:tcPr>
          <w:p>
            <w:pPr>
              <w:jc w:val="left"/>
              <w:rPr>
                <w:rFonts w:ascii="宋体" w:eastAsia="宋体" w:hAnsi="宋体" w:cs="Times New Roman"/>
                <w:szCs w:val="21"/>
              </w:rPr>
            </w:pPr>
            <w:r>
              <w:rPr>
                <w:rFonts w:ascii="宋体" w:eastAsia="宋体" w:hAnsi="宋体" w:cs="Times New Roman" w:hint="eastAsia"/>
                <w:szCs w:val="21"/>
              </w:rPr>
              <w:t>校园绿化、美化</w:t>
            </w:r>
          </w:p>
        </w:tc>
        <w:tc>
          <w:tcPr>
            <w:tcW w:w="3066" w:type="dxa"/>
            <w:vAlign w:val="center"/>
          </w:tcPr>
          <w:p>
            <w:pPr>
              <w:jc w:val="left"/>
              <w:rPr>
                <w:rFonts w:ascii="宋体" w:eastAsia="宋体" w:hAnsi="宋体" w:cs="Times New Roman"/>
                <w:szCs w:val="21"/>
              </w:rPr>
            </w:pPr>
            <w:r>
              <w:rPr>
                <w:rFonts w:ascii="宋体" w:eastAsia="宋体" w:hAnsi="宋体" w:cs="Times New Roman" w:hint="eastAsia"/>
                <w:szCs w:val="21"/>
              </w:rPr>
              <w:t>种植乔木达4000棵、灌木6万株以上、新增绿地8万平方米，校园绿化率达45%以上</w:t>
            </w:r>
          </w:p>
        </w:tc>
        <w:tc>
          <w:tcPr>
            <w:tcW w:w="1186" w:type="dxa"/>
            <w:vAlign w:val="center"/>
          </w:tcPr>
          <w:p>
            <w:pPr>
              <w:jc w:val="left"/>
              <w:rPr>
                <w:rFonts w:ascii="宋体" w:eastAsia="宋体" w:hAnsi="宋体" w:cs="Times New Roman"/>
                <w:szCs w:val="21"/>
              </w:rPr>
            </w:pPr>
            <w:r>
              <w:rPr>
                <w:rFonts w:ascii="宋体" w:eastAsia="宋体" w:hAnsi="宋体" w:cs="Times New Roman" w:hint="eastAsia"/>
                <w:szCs w:val="21"/>
              </w:rPr>
              <w:t>100.00</w:t>
            </w:r>
          </w:p>
        </w:tc>
        <w:tc>
          <w:tcPr>
            <w:tcW w:w="1559" w:type="dxa"/>
            <w:tcBorders>
              <w:right w:val="nil"/>
            </w:tcBorders>
            <w:vAlign w:val="center"/>
          </w:tcPr>
          <w:p>
            <w:pPr>
              <w:jc w:val="left"/>
              <w:rPr>
                <w:rFonts w:ascii="宋体" w:eastAsia="宋体" w:hAnsi="宋体" w:cs="Times New Roman"/>
                <w:szCs w:val="21"/>
              </w:rPr>
            </w:pPr>
            <w:r>
              <w:rPr>
                <w:rFonts w:ascii="宋体" w:eastAsia="宋体" w:hAnsi="宋体" w:cs="Times New Roman" w:hint="eastAsia"/>
                <w:szCs w:val="21"/>
              </w:rPr>
              <w:t>2020年10月</w:t>
            </w:r>
          </w:p>
        </w:tc>
      </w:tr>
    </w:tbl>
    <w:p>
      <w:pPr>
        <w:spacing w:line="560" w:lineRule="exact"/>
        <w:ind w:firstLine="600" w:firstLineChars="200"/>
        <w:contextualSpacing/>
        <w:jc w:val="left"/>
        <w:rPr>
          <w:rFonts w:ascii="楷体" w:eastAsia="楷体" w:hAnsi="楷体" w:cs="Times New Roman"/>
          <w:b/>
          <w:bCs/>
          <w:sz w:val="30"/>
          <w:szCs w:val="30"/>
        </w:rPr>
      </w:pPr>
      <w:r>
        <w:rPr>
          <w:rFonts w:ascii="楷体" w:eastAsia="楷体" w:hAnsi="楷体" w:cs="Times New Roman" w:hint="eastAsia"/>
          <w:b/>
          <w:bCs/>
          <w:sz w:val="30"/>
          <w:szCs w:val="30"/>
        </w:rPr>
        <w:t>（八）学生宿舍提升改造建设任务</w:t>
      </w:r>
      <w:bookmarkEnd w:id="170"/>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仿宋" w:hint="eastAsia"/>
          <w:sz w:val="30"/>
          <w:szCs w:val="30"/>
        </w:rPr>
        <w:t>按照《高等学校标准化学生公寓创建标准》，加强宿舍功能建设：</w:t>
      </w:r>
    </w:p>
    <w:p>
      <w:pPr>
        <w:adjustRightInd w:val="0"/>
        <w:spacing w:line="560" w:lineRule="exact"/>
        <w:ind w:firstLine="600" w:firstLineChars="200"/>
        <w:contextualSpacing/>
        <w:jc w:val="left"/>
        <w:rPr>
          <w:rFonts w:ascii="仿宋" w:eastAsia="仿宋" w:hAnsi="仿宋" w:cs="仿宋"/>
          <w:sz w:val="30"/>
          <w:szCs w:val="30"/>
        </w:rPr>
      </w:pPr>
      <w:r>
        <w:rPr>
          <w:rFonts w:ascii="仿宋" w:eastAsia="仿宋" w:hAnsi="仿宋" w:cs="仿宋" w:hint="eastAsia"/>
          <w:sz w:val="30"/>
          <w:szCs w:val="30"/>
        </w:rPr>
        <w:t>1.学生宿舍楼内安装直接饮用开水的设备；安装独立的或公用的热水洗浴场所；安装脸谱门禁系统；新增用于信息发布的电子媒体。</w:t>
      </w:r>
    </w:p>
    <w:p>
      <w:pPr>
        <w:adjustRightInd w:val="0"/>
        <w:spacing w:line="560" w:lineRule="exact"/>
        <w:ind w:firstLine="600" w:firstLineChars="200"/>
        <w:contextualSpacing/>
        <w:jc w:val="left"/>
        <w:rPr>
          <w:rFonts w:ascii="仿宋" w:eastAsia="仿宋" w:hAnsi="仿宋" w:cs="仿宋"/>
          <w:sz w:val="30"/>
          <w:szCs w:val="30"/>
        </w:rPr>
      </w:pPr>
      <w:r>
        <w:rPr>
          <w:rFonts w:ascii="仿宋" w:eastAsia="仿宋" w:hAnsi="仿宋" w:cs="仿宋" w:hint="eastAsia"/>
          <w:sz w:val="30"/>
          <w:szCs w:val="30"/>
        </w:rPr>
        <w:t>2.学生宿舍区域安装电子围栏，并全部更换为数字高清摄像头；规范统一宿舍楼标识牌、楼层号、房间号。</w:t>
      </w:r>
      <w:bookmarkEnd w:id="171"/>
      <w:bookmarkEnd w:id="172"/>
    </w:p>
    <w:p>
      <w:pPr>
        <w:spacing w:line="560" w:lineRule="exact"/>
        <w:ind w:firstLine="600" w:firstLineChars="200"/>
        <w:rPr>
          <w:rFonts w:ascii="黑体" w:eastAsia="黑体" w:hAnsi="黑体" w:cs="Times New Roman"/>
          <w:sz w:val="30"/>
          <w:szCs w:val="30"/>
        </w:rPr>
      </w:pPr>
      <w:r>
        <w:rPr>
          <w:rFonts w:ascii="黑体" w:eastAsia="黑体" w:hAnsi="黑体" w:cs="Times New Roman" w:hint="eastAsia"/>
          <w:sz w:val="30"/>
          <w:szCs w:val="30"/>
        </w:rPr>
        <w:t>四、保障措施</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（一）以规划思想和原则为依据，分步实施，完成单项设计，合理安排建设任务。</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（二）加强资金筹措和投资管理。理顺用好学校可使用资金。</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三）加强对校园规划建设工作的领导。校园建设规划要由董事会会议决定，各相关职能部门分步组织实施。根据工作需要，以基建处和后勤管理处技术力量为主，充实工程技术管理力量，保证基本建设工作有坚强的技术支持。</w:t>
      </w:r>
      <w:bookmarkStart w:id="173" w:name="_Toc475714940"/>
      <w:bookmarkStart w:id="174" w:name="_Toc475369211"/>
    </w:p>
    <w:p>
      <w:pPr>
        <w:spacing w:line="560" w:lineRule="exact"/>
        <w:ind w:firstLine="600" w:firstLineChars="200"/>
        <w:rPr>
          <w:rFonts w:ascii="仿宋" w:eastAsia="仿宋" w:hAnsi="仿宋" w:cs="Times New Roman"/>
          <w:sz w:val="30"/>
          <w:szCs w:val="30"/>
        </w:rPr>
      </w:pPr>
      <w:r>
        <w:rPr>
          <w:rFonts w:ascii="仿宋" w:eastAsia="仿宋" w:hAnsi="仿宋" w:cs="Times New Roman" w:hint="eastAsia"/>
          <w:sz w:val="30"/>
          <w:szCs w:val="30"/>
        </w:rPr>
        <w:t>（四）节约能源资源。牢固树立创新、协调、绿色、开放、包容的发展理念，以生态文明建设为统领，以节约型、绿色校园建设为主线，节约能源资源。</w:t>
      </w:r>
    </w:p>
    <w:p>
      <w:pPr>
        <w:adjustRightInd w:val="0"/>
        <w:spacing w:line="560" w:lineRule="exact"/>
        <w:ind w:firstLine="600" w:firstLineChars="200"/>
        <w:contextualSpacing/>
        <w:jc w:val="left"/>
        <w:rPr>
          <w:rFonts w:ascii="仿宋" w:eastAsia="仿宋" w:hAnsi="仿宋" w:cs="Times New Roman"/>
          <w:sz w:val="30"/>
          <w:szCs w:val="30"/>
        </w:rPr>
      </w:pPr>
      <w:r>
        <w:rPr>
          <w:rFonts w:ascii="仿宋" w:eastAsia="仿宋" w:hAnsi="仿宋" w:cs="Times New Roman" w:hint="eastAsia"/>
          <w:sz w:val="30"/>
          <w:szCs w:val="30"/>
        </w:rPr>
        <w:t>（五）建立健全管理制度，狠抓落实。明确各部门和各类人员的管理职责，严格办事程序。对施工招标管理、工程质量管理、经费和造价管理等重要环节严格执行相应的管理规定。围绕工程质量管理、进度管理、安全生产和造价管理，把各项工作落到实处。以施工合同为依据，实施建设工程的全面质量管理，实现对施工过程的有效控制，确保工程质量和进度。</w:t>
      </w:r>
    </w:p>
    <w:p>
      <w:pPr>
        <w:adjustRightInd w:val="0"/>
        <w:spacing w:line="520" w:lineRule="exact"/>
        <w:ind w:firstLine="600" w:firstLineChars="200"/>
        <w:contextualSpacing/>
        <w:jc w:val="left"/>
        <w:rPr>
          <w:rFonts w:ascii="仿宋" w:eastAsia="仿宋" w:hAnsi="仿宋" w:cs="Times New Roman"/>
          <w:sz w:val="30"/>
          <w:szCs w:val="30"/>
        </w:rPr>
      </w:pPr>
    </w:p>
    <w:p>
      <w:pPr>
        <w:widowControl/>
        <w:spacing w:line="480" w:lineRule="exact"/>
        <w:rPr>
          <w:rFonts w:ascii="宋体" w:hAnsi="宋体" w:cs="宋体"/>
          <w:b/>
          <w:bCs/>
          <w:kern w:val="0"/>
          <w:sz w:val="36"/>
          <w:szCs w:val="36"/>
        </w:rPr>
      </w:pPr>
      <w:bookmarkEnd w:id="173"/>
      <w:bookmarkEnd w:id="174"/>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sectPr>
          <w:headerReference w:type="default" r:id="rId37"/>
          <w:footerReference w:type="default" r:id="rId38"/>
          <w:type w:val="continuous"/>
          <w:pgSz w:w="11906" w:h="16838"/>
          <w:pgMar w:top="1440" w:right="1463" w:bottom="1440" w:left="1463" w:header="851" w:footer="992" w:gutter="0"/>
          <w:cols w:space="708"/>
          <w:docGrid w:type="lines" w:linePitch="312" w:charSpace="0"/>
        </w:sectPr>
      </w:pPr>
    </w:p>
    <w:p>
      <w:pPr>
        <w:widowControl/>
        <w:spacing w:line="480" w:lineRule="exact"/>
        <w:rPr>
          <w:rFonts w:ascii="宋体" w:hAnsi="宋体" w:cs="宋体"/>
          <w:b/>
          <w:bCs/>
          <w:kern w:val="0"/>
          <w:sz w:val="36"/>
          <w:szCs w:val="36"/>
        </w:rPr>
      </w:pPr>
    </w:p>
    <w:p>
      <w:pPr>
        <w:widowControl/>
        <w:spacing w:line="480" w:lineRule="exact"/>
        <w:rPr>
          <w:rFonts w:ascii="宋体" w:hAnsi="宋体" w:cs="宋体"/>
          <w:b/>
          <w:bCs/>
          <w:kern w:val="0"/>
          <w:sz w:val="36"/>
          <w:szCs w:val="36"/>
        </w:rPr>
      </w:pPr>
    </w:p>
    <w:p>
      <w:pPr>
        <w:spacing w:line="360" w:lineRule="auto"/>
        <w:ind w:firstLine="713" w:firstLineChars="99"/>
        <w:rPr>
          <w:rFonts w:ascii="方正黄草简体" w:eastAsia="方正黄草简体"/>
          <w:szCs w:val="21"/>
        </w:rPr>
      </w:pPr>
      <w:r>
        <w:rPr>
          <w:rFonts w:ascii="方正黄草简体" w:eastAsia="方正黄草简体" w:hAnsi="华文楷体"/>
          <w:sz w:val="72"/>
          <w:szCs w:val="72"/>
        </w:rPr>
        <w:pict>
          <v:shape id="图片 9" o:spid="_x0000_s1031" type="#_x0000_t75" alt="H:\合格评估\河北科技学院合格评估院长报告、领导致辞\校徽1.png" style="width:78.65pt;height:68.2pt;margin-top:17.5pt;margin-left:22.7pt;mso-wrap-distance-left:5.65pt;mso-wrap-distance-right:2.85pt;position:absolute;z-index:251664384" o:preferrelative="t" filled="f" stroked="f">
            <v:fill o:detectmouseclick="t"/>
            <v:imagedata r:id="rId10" o:title="H:\合格评估\河北科技学院合格评估院长报告、领导致辞\校徽1.png"/>
            <v:path o:extrusionok="f"/>
            <o:lock v:ext="edit" aspectratio="t"/>
            <w10:wrap type="square"/>
          </v:shape>
        </w:pict>
      </w:r>
    </w:p>
    <w:p>
      <w:pPr>
        <w:spacing w:line="360" w:lineRule="auto"/>
        <w:rPr>
          <w:rFonts w:ascii="方正黄草简体" w:eastAsia="方正黄草简体"/>
          <w:sz w:val="52"/>
          <w:szCs w:val="52"/>
        </w:rPr>
      </w:pPr>
      <w:r>
        <w:rPr>
          <w:rFonts w:ascii="方正黄草简体" w:eastAsia="方正黄草简体" w:hint="eastAsia"/>
          <w:sz w:val="52"/>
          <w:szCs w:val="52"/>
        </w:rPr>
        <w:t>河北科技学院</w:t>
      </w:r>
    </w:p>
    <w:p>
      <w:pPr>
        <w:spacing w:line="360" w:lineRule="auto"/>
        <w:rPr>
          <w:rFonts w:ascii="宋体" w:hAnsi="宋体"/>
          <w:b/>
          <w:sz w:val="52"/>
          <w:szCs w:val="52"/>
        </w:rPr>
      </w:pPr>
    </w:p>
    <w:p>
      <w:pPr>
        <w:spacing w:before="312" w:beforeLines="100" w:line="360" w:lineRule="auto"/>
        <w:jc w:val="center"/>
        <w:rPr>
          <w:rFonts w:ascii="微软雅黑" w:eastAsia="微软雅黑" w:hAnsi="微软雅黑"/>
          <w:b/>
          <w:sz w:val="56"/>
          <w:szCs w:val="56"/>
        </w:rPr>
      </w:pPr>
      <w:r>
        <w:rPr>
          <w:rFonts w:ascii="微软雅黑" w:eastAsia="微软雅黑" w:hAnsi="微软雅黑" w:hint="eastAsia"/>
          <w:b/>
          <w:sz w:val="56"/>
          <w:szCs w:val="56"/>
        </w:rPr>
        <w:t>“</w:t>
      </w:r>
      <w:r>
        <w:rPr>
          <w:rFonts w:ascii="微软雅黑" w:eastAsia="微软雅黑" w:hAnsi="微软雅黑" w:hint="eastAsia"/>
          <w:b/>
          <w:sz w:val="56"/>
          <w:szCs w:val="56"/>
        </w:rPr>
        <w:t>十三五</w:t>
      </w:r>
      <w:r>
        <w:rPr>
          <w:rFonts w:ascii="微软雅黑" w:eastAsia="微软雅黑" w:hAnsi="微软雅黑" w:hint="eastAsia"/>
          <w:b/>
          <w:sz w:val="56"/>
          <w:szCs w:val="56"/>
        </w:rPr>
        <w:t>”</w:t>
      </w:r>
      <w:r>
        <w:rPr>
          <w:rFonts w:ascii="微软雅黑" w:eastAsia="微软雅黑" w:hAnsi="微软雅黑" w:hint="eastAsia"/>
          <w:b/>
          <w:sz w:val="56"/>
          <w:szCs w:val="56"/>
        </w:rPr>
        <w:t>信息化建设发展规划</w:t>
      </w:r>
    </w:p>
    <w:p>
      <w:pPr>
        <w:ind w:left="2"/>
        <w:jc w:val="center"/>
        <w:rPr>
          <w:sz w:val="52"/>
          <w:szCs w:val="52"/>
        </w:rPr>
      </w:pPr>
      <w:r>
        <w:rPr>
          <w:rFonts w:hAnsi="宋体"/>
          <w:sz w:val="52"/>
          <w:szCs w:val="52"/>
        </w:rPr>
        <w:t>（</w:t>
      </w:r>
      <w:r>
        <w:rPr>
          <w:sz w:val="52"/>
          <w:szCs w:val="52"/>
        </w:rPr>
        <w:t>2016-2020</w:t>
      </w:r>
      <w:r>
        <w:rPr>
          <w:rFonts w:hAnsi="宋体" w:hint="eastAsia"/>
          <w:sz w:val="52"/>
          <w:szCs w:val="52"/>
        </w:rPr>
        <w:t>）</w:t>
      </w: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360" w:lineRule="auto"/>
        <w:ind w:firstLine="160" w:firstLineChars="50"/>
        <w:jc w:val="center"/>
        <w:rPr>
          <w:rFonts w:ascii="仿宋" w:eastAsia="仿宋" w:hAnsi="仿宋"/>
          <w:b/>
          <w:sz w:val="32"/>
          <w:szCs w:val="32"/>
        </w:rPr>
      </w:pPr>
    </w:p>
    <w:p>
      <w:pPr>
        <w:spacing w:line="480" w:lineRule="exact"/>
        <w:jc w:val="center"/>
        <w:rPr>
          <w:rFonts w:ascii="仿宋_GB2312" w:eastAsia="仿宋_GB2312" w:cs="仿宋_GB2312"/>
          <w:b/>
          <w:sz w:val="36"/>
          <w:szCs w:val="36"/>
        </w:rPr>
      </w:pPr>
      <w:r>
        <w:rPr>
          <w:rFonts w:ascii="仿宋_GB2312" w:eastAsia="仿宋_GB2312" w:cs="仿宋_GB2312" w:hint="eastAsia"/>
          <w:b/>
          <w:sz w:val="36"/>
          <w:szCs w:val="36"/>
        </w:rPr>
        <w:t>信息化建设规划组</w:t>
      </w:r>
    </w:p>
    <w:p>
      <w:pPr>
        <w:spacing w:line="480" w:lineRule="exact"/>
        <w:jc w:val="center"/>
        <w:rPr>
          <w:rFonts w:ascii="仿宋_GB2312" w:eastAsia="仿宋_GB2312" w:cs="仿宋_GB2312"/>
          <w:b/>
          <w:sz w:val="36"/>
          <w:szCs w:val="36"/>
        </w:rPr>
        <w:sectPr>
          <w:footerReference w:type="default" r:id="rId39"/>
          <w:pgSz w:w="11906" w:h="16838"/>
          <w:pgMar w:top="1440" w:right="1463" w:bottom="1440" w:left="1463" w:header="851" w:footer="992" w:gutter="0"/>
          <w:cols w:space="708"/>
          <w:docGrid w:type="lines" w:linePitch="312" w:charSpace="0"/>
        </w:sectPr>
      </w:pPr>
      <w:r>
        <w:rPr>
          <w:rFonts w:ascii="仿宋_GB2312" w:eastAsia="仿宋_GB2312" w:cs="仿宋_GB2312" w:hint="eastAsia"/>
          <w:b/>
          <w:sz w:val="36"/>
          <w:szCs w:val="36"/>
        </w:rPr>
        <w:br w:type="page"/>
      </w:r>
    </w:p>
    <w:p>
      <w:pPr>
        <w:spacing w:line="480" w:lineRule="exact"/>
        <w:jc w:val="center"/>
        <w:rPr>
          <w:b/>
          <w:sz w:val="36"/>
          <w:szCs w:val="36"/>
        </w:rPr>
      </w:pPr>
    </w:p>
    <w:p>
      <w:pPr>
        <w:spacing w:line="480" w:lineRule="exact"/>
        <w:jc w:val="center"/>
        <w:rPr>
          <w:b/>
          <w:sz w:val="36"/>
          <w:szCs w:val="36"/>
        </w:rPr>
      </w:pPr>
    </w:p>
    <w:p>
      <w:pPr>
        <w:spacing w:line="480" w:lineRule="exact"/>
        <w:jc w:val="center"/>
        <w:rPr>
          <w:b/>
          <w:sz w:val="36"/>
          <w:szCs w:val="36"/>
        </w:rPr>
      </w:pPr>
    </w:p>
    <w:p>
      <w:pPr>
        <w:spacing w:line="480" w:lineRule="exact"/>
        <w:jc w:val="center"/>
        <w:rPr>
          <w:b/>
          <w:sz w:val="36"/>
          <w:szCs w:val="36"/>
        </w:rPr>
      </w:pPr>
    </w:p>
    <w:p>
      <w:pPr>
        <w:spacing w:line="480" w:lineRule="exact"/>
        <w:jc w:val="center"/>
        <w:rPr>
          <w:rFonts w:ascii="仿宋_GB2312" w:eastAsia="仿宋_GB2312" w:cs="仿宋_GB2312"/>
          <w:b/>
          <w:sz w:val="44"/>
          <w:szCs w:val="44"/>
        </w:rPr>
      </w:pPr>
      <w:r>
        <w:rPr>
          <w:rFonts w:hint="eastAsia"/>
          <w:b/>
          <w:sz w:val="44"/>
          <w:szCs w:val="44"/>
        </w:rPr>
        <w:t>目  录</w:t>
      </w:r>
    </w:p>
    <w:p>
      <w:pPr>
        <w:jc w:val="center"/>
        <w:rPr>
          <w:b/>
          <w:sz w:val="36"/>
          <w:szCs w:val="36"/>
        </w:rPr>
      </w:pPr>
    </w:p>
    <w:p>
      <w:pPr>
        <w:spacing w:line="520" w:lineRule="exact"/>
        <w:rPr>
          <w:sz w:val="28"/>
          <w:szCs w:val="28"/>
        </w:rPr>
      </w:pPr>
    </w:p>
    <w:p>
      <w:pPr>
        <w:tabs>
          <w:tab w:val="right" w:leader="dot" w:pos="9060"/>
        </w:tabs>
        <w:spacing w:line="900" w:lineRule="exact"/>
        <w:outlineLvl w:val="2"/>
        <w:rPr>
          <w:rFonts w:ascii="Calibri" w:hAnsi="Calibri"/>
          <w:sz w:val="30"/>
          <w:szCs w:val="30"/>
        </w:rPr>
      </w:pPr>
      <w:r>
        <w:rPr>
          <w:rFonts w:ascii="仿宋_GB2312" w:eastAsia="仿宋_GB2312" w:hAnsi="仿宋"/>
          <w:sz w:val="30"/>
          <w:szCs w:val="30"/>
        </w:rPr>
        <w:fldChar w:fldCharType="begin"/>
      </w:r>
      <w:r>
        <w:rPr>
          <w:rFonts w:ascii="仿宋_GB2312" w:eastAsia="仿宋_GB2312" w:hAnsi="仿宋"/>
          <w:sz w:val="30"/>
          <w:szCs w:val="30"/>
        </w:rPr>
        <w:instrText xml:space="preserve"> </w:instrText>
      </w:r>
      <w:r>
        <w:rPr>
          <w:rFonts w:ascii="仿宋_GB2312" w:eastAsia="仿宋_GB2312" w:hAnsi="仿宋" w:hint="eastAsia"/>
          <w:sz w:val="30"/>
          <w:szCs w:val="30"/>
        </w:rPr>
        <w:instrText>TOC \h \z \u \t "标题 3,1,标题 4,2"</w:instrText>
      </w:r>
      <w:r>
        <w:rPr>
          <w:rFonts w:ascii="仿宋_GB2312" w:eastAsia="仿宋_GB2312" w:hAnsi="仿宋"/>
          <w:sz w:val="30"/>
          <w:szCs w:val="30"/>
        </w:rPr>
        <w:instrText xml:space="preserve"> </w:instrText>
      </w:r>
      <w:r>
        <w:rPr>
          <w:rFonts w:ascii="仿宋_GB2312" w:eastAsia="仿宋_GB2312" w:hAnsi="仿宋"/>
          <w:sz w:val="30"/>
          <w:szCs w:val="30"/>
        </w:rPr>
        <w:fldChar w:fldCharType="separate"/>
      </w:r>
      <w:hyperlink w:anchor="_Toc476822497" w:history="1">
        <w:r>
          <w:rPr>
            <w:rFonts w:hint="eastAsia"/>
            <w:sz w:val="30"/>
            <w:szCs w:val="30"/>
          </w:rPr>
          <w:t>一、现状分析</w:t>
        </w:r>
        <w:r>
          <w:rPr>
            <w:sz w:val="30"/>
            <w:szCs w:val="30"/>
          </w:rPr>
          <w:tab/>
        </w:r>
      </w:hyperlink>
      <w:r>
        <w:rPr>
          <w:rFonts w:hint="eastAsia"/>
          <w:sz w:val="30"/>
          <w:szCs w:val="30"/>
        </w:rPr>
        <w:t>45</w:t>
      </w:r>
    </w:p>
    <w:p>
      <w:pPr>
        <w:tabs>
          <w:tab w:val="right" w:leader="dot" w:pos="9060"/>
        </w:tabs>
        <w:spacing w:line="900" w:lineRule="exact"/>
        <w:outlineLvl w:val="2"/>
        <w:rPr>
          <w:rFonts w:ascii="Calibri" w:hAnsi="Calibri"/>
          <w:sz w:val="30"/>
          <w:szCs w:val="30"/>
        </w:rPr>
      </w:pPr>
      <w:hyperlink w:anchor="_Toc476822501" w:history="1">
        <w:r>
          <w:rPr>
            <w:rFonts w:hint="eastAsia"/>
            <w:sz w:val="30"/>
            <w:szCs w:val="30"/>
          </w:rPr>
          <w:t>二、指导思想</w:t>
        </w:r>
        <w:r>
          <w:rPr>
            <w:sz w:val="30"/>
            <w:szCs w:val="30"/>
          </w:rPr>
          <w:tab/>
        </w:r>
      </w:hyperlink>
      <w:r>
        <w:rPr>
          <w:rFonts w:hint="eastAsia"/>
          <w:sz w:val="30"/>
          <w:szCs w:val="30"/>
        </w:rPr>
        <w:t>46</w:t>
      </w:r>
    </w:p>
    <w:p>
      <w:pPr>
        <w:tabs>
          <w:tab w:val="right" w:leader="dot" w:pos="9060"/>
        </w:tabs>
        <w:spacing w:line="900" w:lineRule="exact"/>
        <w:outlineLvl w:val="3"/>
        <w:rPr>
          <w:rFonts w:ascii="Calibri" w:eastAsia="仿宋_GB2312" w:hAnsi="Calibri"/>
          <w:sz w:val="30"/>
          <w:szCs w:val="30"/>
        </w:rPr>
      </w:pPr>
      <w:hyperlink w:anchor="_Toc476822502" w:history="1">
        <w:r>
          <w:rPr>
            <w:rFonts w:hint="eastAsia"/>
            <w:sz w:val="30"/>
            <w:szCs w:val="30"/>
          </w:rPr>
          <w:t>三、目标任务</w:t>
        </w:r>
        <w:r>
          <w:rPr>
            <w:rFonts w:eastAsia="仿宋_GB2312"/>
            <w:sz w:val="30"/>
            <w:szCs w:val="30"/>
          </w:rPr>
          <w:tab/>
        </w:r>
      </w:hyperlink>
      <w:r>
        <w:rPr>
          <w:rFonts w:eastAsia="仿宋_GB2312" w:hint="eastAsia"/>
          <w:sz w:val="30"/>
          <w:szCs w:val="30"/>
        </w:rPr>
        <w:t>46</w:t>
      </w:r>
    </w:p>
    <w:p>
      <w:pPr>
        <w:tabs>
          <w:tab w:val="right" w:leader="dot" w:pos="9060"/>
        </w:tabs>
        <w:spacing w:line="900" w:lineRule="exact"/>
        <w:ind w:left="440" w:firstLine="440" w:leftChars="200" w:firstLineChars="200"/>
        <w:outlineLvl w:val="3"/>
        <w:rPr>
          <w:rFonts w:eastAsia="仿宋_GB2312"/>
          <w:sz w:val="30"/>
          <w:szCs w:val="30"/>
        </w:rPr>
      </w:pPr>
      <w:hyperlink w:anchor="_Toc476822503" w:history="1">
        <w:r>
          <w:rPr>
            <w:rFonts w:eastAsia="仿宋_GB2312" w:hint="eastAsia"/>
            <w:sz w:val="30"/>
            <w:szCs w:val="30"/>
          </w:rPr>
          <w:t>（一）总体目标</w:t>
        </w:r>
        <w:r>
          <w:rPr>
            <w:rFonts w:eastAsia="仿宋_GB2312"/>
            <w:sz w:val="30"/>
            <w:szCs w:val="30"/>
          </w:rPr>
          <w:tab/>
        </w:r>
      </w:hyperlink>
      <w:r>
        <w:rPr>
          <w:rFonts w:eastAsia="仿宋_GB2312" w:hint="eastAsia"/>
          <w:sz w:val="30"/>
          <w:szCs w:val="30"/>
        </w:rPr>
        <w:t>46</w:t>
      </w:r>
    </w:p>
    <w:p>
      <w:pPr>
        <w:tabs>
          <w:tab w:val="right" w:leader="dot" w:pos="9060"/>
        </w:tabs>
        <w:spacing w:line="900" w:lineRule="exact"/>
        <w:ind w:left="440" w:firstLine="440" w:leftChars="200" w:firstLineChars="200"/>
        <w:outlineLvl w:val="3"/>
        <w:rPr>
          <w:rFonts w:ascii="Times New Roman" w:eastAsia="仿宋_GB2312" w:hAnsi="Times New Roman"/>
          <w:sz w:val="30"/>
          <w:szCs w:val="30"/>
        </w:rPr>
      </w:pPr>
      <w:hyperlink w:anchor="_Toc476822503" w:history="1">
        <w:r>
          <w:rPr>
            <w:rFonts w:eastAsia="仿宋_GB2312" w:hint="eastAsia"/>
            <w:sz w:val="30"/>
            <w:szCs w:val="30"/>
          </w:rPr>
          <w:t>（二）具体目标</w:t>
        </w:r>
        <w:r>
          <w:rPr>
            <w:rFonts w:eastAsia="仿宋_GB2312"/>
            <w:sz w:val="30"/>
            <w:szCs w:val="30"/>
          </w:rPr>
          <w:tab/>
        </w:r>
      </w:hyperlink>
      <w:r>
        <w:rPr>
          <w:rFonts w:eastAsia="仿宋_GB2312" w:hint="eastAsia"/>
          <w:sz w:val="30"/>
          <w:szCs w:val="30"/>
        </w:rPr>
        <w:t>47</w:t>
      </w:r>
    </w:p>
    <w:p>
      <w:pPr>
        <w:tabs>
          <w:tab w:val="right" w:leader="dot" w:pos="9060"/>
        </w:tabs>
        <w:spacing w:line="900" w:lineRule="exact"/>
        <w:outlineLvl w:val="2"/>
        <w:rPr>
          <w:rFonts w:ascii="Calibri" w:hAnsi="Calibri"/>
          <w:sz w:val="30"/>
          <w:szCs w:val="30"/>
        </w:rPr>
      </w:pPr>
      <w:hyperlink w:anchor="_Toc476822513" w:history="1">
        <w:r>
          <w:rPr>
            <w:rFonts w:hint="eastAsia"/>
            <w:sz w:val="30"/>
            <w:szCs w:val="30"/>
          </w:rPr>
          <w:t>四、保障措施</w:t>
        </w:r>
        <w:r>
          <w:rPr>
            <w:sz w:val="30"/>
            <w:szCs w:val="30"/>
          </w:rPr>
          <w:tab/>
        </w:r>
      </w:hyperlink>
      <w:r>
        <w:rPr>
          <w:rFonts w:hint="eastAsia"/>
          <w:sz w:val="30"/>
          <w:szCs w:val="30"/>
        </w:rPr>
        <w:t>49</w:t>
      </w:r>
    </w:p>
    <w:p>
      <w:pPr>
        <w:spacing w:line="900" w:lineRule="exact"/>
        <w:jc w:val="center"/>
        <w:rPr>
          <w:rFonts w:ascii="宋体" w:hAnsi="宋体" w:cs="Arial"/>
          <w:b/>
          <w:sz w:val="28"/>
          <w:szCs w:val="28"/>
        </w:rPr>
      </w:pPr>
      <w:r>
        <w:rPr>
          <w:rFonts w:ascii="仿宋_GB2312" w:eastAsia="仿宋_GB2312" w:hAnsi="仿宋"/>
          <w:sz w:val="30"/>
          <w:szCs w:val="30"/>
        </w:rPr>
        <w:fldChar w:fldCharType="end"/>
      </w:r>
    </w:p>
    <w:p>
      <w:pPr>
        <w:widowControl/>
        <w:shd w:val="clear" w:color="auto" w:fill="FFFFFF"/>
        <w:spacing w:line="480" w:lineRule="atLeast"/>
        <w:jc w:val="center"/>
        <w:rPr>
          <w:rFonts w:ascii="微软雅黑" w:eastAsia="宋体" w:hAnsi="微软雅黑" w:cs="宋体"/>
          <w:b/>
          <w:kern w:val="0"/>
          <w:sz w:val="36"/>
          <w:szCs w:val="36"/>
        </w:rPr>
      </w:pPr>
    </w:p>
    <w:p>
      <w:pPr>
        <w:widowControl/>
        <w:shd w:val="clear" w:color="auto" w:fill="FFFFFF"/>
        <w:spacing w:line="480" w:lineRule="atLeast"/>
        <w:jc w:val="center"/>
        <w:rPr>
          <w:rFonts w:ascii="微软雅黑" w:eastAsia="宋体" w:hAnsi="微软雅黑" w:cs="宋体"/>
          <w:b/>
          <w:kern w:val="0"/>
          <w:sz w:val="36"/>
          <w:szCs w:val="36"/>
        </w:rPr>
      </w:pPr>
    </w:p>
    <w:p>
      <w:pPr>
        <w:widowControl/>
        <w:shd w:val="clear" w:color="auto" w:fill="FFFFFF"/>
        <w:spacing w:line="480" w:lineRule="atLeast"/>
        <w:jc w:val="center"/>
        <w:rPr>
          <w:rFonts w:ascii="微软雅黑" w:eastAsia="宋体" w:hAnsi="微软雅黑" w:cs="宋体"/>
          <w:b/>
          <w:kern w:val="0"/>
          <w:sz w:val="36"/>
          <w:szCs w:val="36"/>
        </w:rPr>
      </w:pPr>
    </w:p>
    <w:p>
      <w:pPr>
        <w:widowControl/>
        <w:shd w:val="clear" w:color="auto" w:fill="FFFFFF"/>
        <w:spacing w:line="480" w:lineRule="atLeast"/>
        <w:jc w:val="center"/>
        <w:rPr>
          <w:rFonts w:ascii="微软雅黑" w:eastAsia="宋体" w:hAnsi="微软雅黑" w:cs="宋体"/>
          <w:b/>
          <w:kern w:val="0"/>
          <w:sz w:val="36"/>
          <w:szCs w:val="36"/>
        </w:rPr>
      </w:pPr>
    </w:p>
    <w:p>
      <w:pPr>
        <w:widowControl/>
        <w:shd w:val="clear" w:color="auto" w:fill="FFFFFF"/>
        <w:spacing w:line="480" w:lineRule="atLeast"/>
        <w:jc w:val="center"/>
        <w:rPr>
          <w:rFonts w:ascii="微软雅黑" w:eastAsia="宋体" w:hAnsi="微软雅黑" w:cs="宋体"/>
          <w:b/>
          <w:kern w:val="0"/>
          <w:sz w:val="36"/>
          <w:szCs w:val="36"/>
        </w:rPr>
        <w:sectPr>
          <w:pgSz w:w="11906" w:h="16838"/>
          <w:pgMar w:top="1440" w:right="1463" w:bottom="1440" w:left="1463" w:header="851" w:footer="992" w:gutter="0"/>
          <w:cols w:space="708"/>
          <w:docGrid w:type="lines" w:linePitch="312" w:charSpace="0"/>
        </w:sectPr>
      </w:pPr>
    </w:p>
    <w:p>
      <w:pPr>
        <w:widowControl/>
        <w:shd w:val="clear" w:color="auto" w:fill="FFFFFF"/>
        <w:spacing w:line="480" w:lineRule="atLeast"/>
        <w:jc w:val="center"/>
        <w:rPr>
          <w:rFonts w:ascii="微软雅黑" w:eastAsia="宋体" w:hAnsi="微软雅黑" w:cs="宋体"/>
          <w:b/>
          <w:kern w:val="0"/>
          <w:sz w:val="36"/>
          <w:szCs w:val="36"/>
        </w:rPr>
      </w:pPr>
    </w:p>
    <w:p>
      <w:pPr>
        <w:widowControl/>
        <w:shd w:val="clear" w:color="auto" w:fill="FFFFFF"/>
        <w:spacing w:line="480" w:lineRule="atLeast"/>
        <w:jc w:val="center"/>
        <w:rPr>
          <w:rFonts w:ascii="微软雅黑" w:eastAsia="宋体" w:hAnsi="微软雅黑" w:cs="宋体"/>
          <w:b/>
          <w:kern w:val="0"/>
          <w:sz w:val="36"/>
          <w:szCs w:val="36"/>
        </w:rPr>
        <w:sectPr>
          <w:footerReference w:type="default" r:id="rId40"/>
          <w:pgSz w:w="11906" w:h="16838"/>
          <w:pgMar w:top="1440" w:right="1463" w:bottom="1440" w:left="1463" w:header="851" w:footer="992" w:gutter="0"/>
          <w:cols w:space="708"/>
          <w:docGrid w:type="lines" w:linePitch="312" w:charSpace="0"/>
        </w:sectPr>
      </w:pPr>
    </w:p>
    <w:p>
      <w:pPr>
        <w:widowControl/>
        <w:shd w:val="clear" w:color="auto" w:fill="FFFFFF"/>
        <w:spacing w:line="480" w:lineRule="atLeast"/>
        <w:jc w:val="center"/>
        <w:rPr>
          <w:rFonts w:ascii="微软雅黑" w:eastAsia="宋体" w:hAnsi="微软雅黑" w:cs="宋体"/>
          <w:b/>
          <w:kern w:val="0"/>
          <w:sz w:val="44"/>
          <w:szCs w:val="44"/>
        </w:rPr>
      </w:pPr>
      <w:r>
        <w:rPr>
          <w:rFonts w:ascii="微软雅黑" w:eastAsia="宋体" w:hAnsi="微软雅黑" w:cs="宋体" w:hint="eastAsia"/>
          <w:b/>
          <w:kern w:val="0"/>
          <w:sz w:val="44"/>
          <w:szCs w:val="44"/>
        </w:rPr>
        <w:t>河北科技学院</w:t>
      </w:r>
    </w:p>
    <w:p>
      <w:pPr>
        <w:widowControl/>
        <w:shd w:val="clear" w:color="auto" w:fill="FFFFFF"/>
        <w:spacing w:line="480" w:lineRule="atLeast"/>
        <w:jc w:val="center"/>
        <w:rPr>
          <w:rFonts w:ascii="微软雅黑" w:eastAsia="宋体" w:hAnsi="微软雅黑" w:cs="宋体"/>
          <w:b/>
          <w:kern w:val="0"/>
          <w:sz w:val="44"/>
          <w:szCs w:val="44"/>
        </w:rPr>
      </w:pPr>
      <w:r>
        <w:rPr>
          <w:rFonts w:ascii="微软雅黑" w:eastAsia="宋体" w:hAnsi="微软雅黑" w:cs="宋体"/>
          <w:b/>
          <w:kern w:val="0"/>
          <w:sz w:val="44"/>
          <w:szCs w:val="44"/>
        </w:rPr>
        <w:t>“十三五”信息化建设发展规划</w:t>
      </w:r>
    </w:p>
    <w:p>
      <w:pPr>
        <w:widowControl/>
        <w:shd w:val="clear" w:color="auto" w:fill="FFFFFF"/>
        <w:spacing w:line="480" w:lineRule="atLeast"/>
        <w:jc w:val="center"/>
        <w:rPr>
          <w:rFonts w:ascii="微软雅黑" w:eastAsia="宋体" w:hAnsi="微软雅黑" w:cs="宋体"/>
          <w:kern w:val="0"/>
          <w:sz w:val="30"/>
          <w:szCs w:val="30"/>
        </w:rPr>
      </w:pPr>
      <w:r>
        <w:rPr>
          <w:rFonts w:ascii="微软雅黑" w:eastAsia="宋体" w:hAnsi="微软雅黑" w:cs="宋体" w:hint="eastAsia"/>
          <w:kern w:val="0"/>
          <w:sz w:val="30"/>
          <w:szCs w:val="30"/>
        </w:rPr>
        <w:t>（2016</w:t>
      </w:r>
      <w:r>
        <w:rPr>
          <w:rFonts w:ascii="微软雅黑" w:eastAsia="宋体" w:hAnsi="微软雅黑" w:cs="宋体" w:hint="eastAsia"/>
          <w:kern w:val="0"/>
          <w:sz w:val="30"/>
          <w:szCs w:val="30"/>
        </w:rPr>
        <w:t>—</w:t>
      </w:r>
      <w:r>
        <w:rPr>
          <w:rFonts w:ascii="微软雅黑" w:eastAsia="宋体" w:hAnsi="微软雅黑" w:cs="宋体" w:hint="eastAsia"/>
          <w:kern w:val="0"/>
          <w:sz w:val="30"/>
          <w:szCs w:val="30"/>
        </w:rPr>
        <w:t>2020）</w:t>
      </w:r>
    </w:p>
    <w:p>
      <w:pPr>
        <w:widowControl/>
        <w:shd w:val="clear" w:color="auto" w:fill="FFFFFF"/>
        <w:spacing w:line="480" w:lineRule="atLeast"/>
        <w:ind w:firstLine="560" w:firstLineChars="200"/>
        <w:rPr>
          <w:rFonts w:ascii="微软雅黑" w:eastAsia="宋体" w:hAnsi="微软雅黑" w:cs="宋体"/>
          <w:kern w:val="0"/>
          <w:sz w:val="28"/>
          <w:szCs w:val="28"/>
        </w:rPr>
      </w:pPr>
    </w:p>
    <w:p>
      <w:pPr>
        <w:widowControl/>
        <w:shd w:val="clear" w:color="auto" w:fill="FFFFFF"/>
        <w:spacing w:line="276" w:lineRule="auto"/>
        <w:ind w:firstLine="600" w:firstLineChars="200"/>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为准确把握教育信息化面临的新形势、新要求，全面统筹学校教育信息化改革与发展，推进应用型高校建设进程，根据《国家中长期教育改革和发展规划纲要（2010-2020 年）》、教育部《教育信息化十年发展规划（2011-2020 年）》和《河北科技学院</w:t>
      </w:r>
      <w:r>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十三五</w:t>
      </w:r>
      <w:r>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教育事业发展规划（2016</w:t>
      </w:r>
      <w:r>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2020年）》，制定本规划。</w:t>
      </w:r>
    </w:p>
    <w:p>
      <w:pPr>
        <w:pStyle w:val="ListParagraph"/>
        <w:widowControl/>
        <w:numPr>
          <w:ilvl w:val="0"/>
          <w:numId w:val="4"/>
        </w:numPr>
        <w:shd w:val="clear" w:color="auto" w:fill="FFFFFF"/>
        <w:spacing w:line="276" w:lineRule="auto"/>
        <w:ind w:firstLineChars="0"/>
        <w:rPr>
          <w:rFonts w:ascii="黑体" w:eastAsia="黑体" w:hAnsi="黑体" w:cs="黑体"/>
          <w:b/>
          <w:kern w:val="0"/>
          <w:sz w:val="30"/>
          <w:szCs w:val="30"/>
        </w:rPr>
      </w:pPr>
      <w:r>
        <w:rPr>
          <w:rFonts w:ascii="黑体" w:eastAsia="黑体" w:hAnsi="黑体" w:cs="黑体" w:hint="eastAsia"/>
          <w:b/>
          <w:kern w:val="0"/>
          <w:sz w:val="30"/>
          <w:szCs w:val="30"/>
        </w:rPr>
        <w:t>现状分析</w:t>
      </w:r>
      <w:r>
        <w:rPr>
          <w:rFonts w:ascii="黑体" w:eastAsia="黑体" w:hAnsi="黑体" w:cs="黑体" w:hint="eastAsia"/>
          <w:b/>
          <w:kern w:val="0"/>
          <w:sz w:val="30"/>
          <w:szCs w:val="30"/>
        </w:rPr>
        <w:t> </w:t>
      </w:r>
    </w:p>
    <w:p>
      <w:pPr>
        <w:widowControl/>
        <w:shd w:val="clear" w:color="auto" w:fill="FFFFFF"/>
        <w:spacing w:line="276" w:lineRule="auto"/>
        <w:ind w:firstLine="600" w:firstLineChars="200"/>
        <w:rPr>
          <w:rFonts w:ascii="仿宋" w:eastAsia="仿宋" w:hAnsi="仿宋" w:cs="仿宋"/>
          <w:kern w:val="0"/>
          <w:sz w:val="30"/>
          <w:szCs w:val="30"/>
        </w:rPr>
      </w:pPr>
      <w:r>
        <w:rPr>
          <w:rFonts w:ascii="仿宋" w:eastAsia="仿宋" w:hAnsi="仿宋" w:cs="仿宋" w:hint="eastAsia"/>
          <w:kern w:val="0"/>
          <w:sz w:val="30"/>
          <w:szCs w:val="30"/>
        </w:rPr>
        <w:t>“</w:t>
      </w:r>
      <w:r>
        <w:rPr>
          <w:rFonts w:ascii="仿宋" w:eastAsia="仿宋" w:hAnsi="仿宋" w:cs="仿宋" w:hint="eastAsia"/>
          <w:kern w:val="0"/>
          <w:sz w:val="30"/>
          <w:szCs w:val="30"/>
        </w:rPr>
        <w:t>十二五</w:t>
      </w:r>
      <w:r>
        <w:rPr>
          <w:rFonts w:ascii="仿宋" w:eastAsia="仿宋" w:hAnsi="仿宋" w:cs="仿宋" w:hint="eastAsia"/>
          <w:kern w:val="0"/>
          <w:sz w:val="30"/>
          <w:szCs w:val="30"/>
        </w:rPr>
        <w:t>”</w:t>
      </w:r>
      <w:r>
        <w:rPr>
          <w:rFonts w:ascii="仿宋" w:eastAsia="仿宋" w:hAnsi="仿宋" w:cs="仿宋" w:hint="eastAsia"/>
          <w:kern w:val="0"/>
          <w:sz w:val="30"/>
          <w:szCs w:val="30"/>
        </w:rPr>
        <w:t>期间，学校坚持贯彻国家和河北省关于教育信息化建设的工作要求，切实转变观念，科学论证、增加投入，积极推进教育信息化发展与建设，完成了校园有线、无线一体化网络建设工作，实现了校园网全覆盖，完善了教务管理平台系统、科研管理系统、人事管理系统、综合档案管理系统、固定资产管理系统、实验设备管理软件系统， 为学校的教育信息化建设奠定了基础。</w:t>
      </w:r>
    </w:p>
    <w:p>
      <w:pPr>
        <w:widowControl/>
        <w:shd w:val="clear" w:color="auto" w:fill="FFFFFF"/>
        <w:spacing w:line="276" w:lineRule="auto"/>
        <w:ind w:firstLine="600" w:firstLineChars="200"/>
        <w:rPr>
          <w:rFonts w:ascii="仿宋" w:eastAsia="仿宋" w:hAnsi="仿宋" w:cs="仿宋"/>
          <w:kern w:val="0"/>
          <w:sz w:val="30"/>
          <w:szCs w:val="30"/>
        </w:rPr>
      </w:pPr>
      <w:r>
        <w:rPr>
          <w:rFonts w:ascii="仿宋" w:eastAsia="仿宋" w:hAnsi="仿宋" w:cs="仿宋" w:hint="eastAsia"/>
          <w:kern w:val="0"/>
          <w:sz w:val="30"/>
          <w:szCs w:val="30"/>
        </w:rPr>
        <w:t>我校目前信息化建设的问题主要是：基础设施老化不能满足发展需求，信息化管理体制还需完善，信息技术专业人员短缺，校本信息资源建设滞后，基于互联网、大数据、物联网、云计算、智慧教学等方面应用不足，网上教学、网上评课、移动点对点教学服务、数字化校园文化建设等方面需加强。</w:t>
      </w:r>
    </w:p>
    <w:p>
      <w:pPr>
        <w:pStyle w:val="ListParagraph"/>
        <w:widowControl/>
        <w:shd w:val="clear" w:color="auto" w:fill="FFFFFF"/>
        <w:spacing w:line="276" w:lineRule="auto"/>
        <w:ind w:left="562" w:firstLine="0" w:firstLineChars="0"/>
        <w:rPr>
          <w:rFonts w:ascii="黑体" w:eastAsia="黑体" w:hAnsi="黑体" w:cs="黑体"/>
          <w:b/>
          <w:kern w:val="0"/>
          <w:sz w:val="30"/>
          <w:szCs w:val="30"/>
        </w:rPr>
      </w:pPr>
      <w:r>
        <w:rPr>
          <w:rFonts w:ascii="黑体" w:eastAsia="黑体" w:hAnsi="黑体" w:cs="黑体" w:hint="eastAsia"/>
          <w:b/>
          <w:kern w:val="0"/>
          <w:sz w:val="30"/>
          <w:szCs w:val="30"/>
        </w:rPr>
        <w:t>二、指导思想</w:t>
      </w:r>
      <w:r>
        <w:rPr>
          <w:rFonts w:ascii="黑体" w:eastAsia="黑体" w:hAnsi="黑体" w:cs="黑体" w:hint="eastAsia"/>
          <w:b/>
          <w:kern w:val="0"/>
          <w:sz w:val="30"/>
          <w:szCs w:val="30"/>
        </w:rPr>
        <w:t> </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未来五年，学校将全面贯彻落实《国家中长期教育改革和发展规划纲要（2010-2020年）》《教育信息化十年发展规划（2011-2020年）》，以</w:t>
      </w:r>
      <w:r>
        <w:rPr>
          <w:rFonts w:ascii="仿宋" w:eastAsia="仿宋" w:hAnsi="仿宋" w:cs="仿宋" w:hint="eastAsia"/>
          <w:kern w:val="0"/>
          <w:sz w:val="30"/>
          <w:szCs w:val="30"/>
        </w:rPr>
        <w:t>“</w:t>
      </w:r>
      <w:r>
        <w:rPr>
          <w:rFonts w:ascii="仿宋" w:eastAsia="仿宋" w:hAnsi="仿宋" w:cs="仿宋" w:hint="eastAsia"/>
          <w:kern w:val="0"/>
          <w:sz w:val="30"/>
          <w:szCs w:val="30"/>
        </w:rPr>
        <w:t>统筹规划，分步实施；整体推进，突出重点；优化应用，资源共享；立足高端，跨越发展</w:t>
      </w:r>
      <w:r>
        <w:rPr>
          <w:rFonts w:ascii="仿宋" w:eastAsia="仿宋" w:hAnsi="仿宋" w:cs="仿宋" w:hint="eastAsia"/>
          <w:kern w:val="0"/>
          <w:sz w:val="30"/>
          <w:szCs w:val="30"/>
        </w:rPr>
        <w:t>”</w:t>
      </w:r>
      <w:r>
        <w:rPr>
          <w:rFonts w:ascii="仿宋" w:eastAsia="仿宋" w:hAnsi="仿宋" w:cs="仿宋" w:hint="eastAsia"/>
          <w:kern w:val="0"/>
          <w:sz w:val="30"/>
          <w:szCs w:val="30"/>
        </w:rPr>
        <w:t>为原则，高标准推进学校信息化建设，通过打造数字化校园、智慧校园，创设良好的信息化氛围，引领教师发展、促进学生成长，提高学校教育教学质量，提升学校的信息化管理水平。</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统筹规划，分步实施。坚持从学校全局高度统一标准，统一规划，整体部署；同时根据实际情况分步分期实施具体项目，保证规划的逐步落实。</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整体推进，突出重点。根据统一规划部署，促进学校教育信息化的全面推进，同时避免全面铺开，要抓重点项目，提高有限资源的使用效率。</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优化应用，资源共享 。立足师生实际需求，推进校本教育资源库、学校信息资源库和数据中心的建设，并实现资源共享。</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立足高端，跨越发展。在可操作的前提下，高起点制定发展信息化规划 ，引入当前最新信息化技术和产品，实现我校信息化建设的跨越式发展。</w:t>
      </w:r>
    </w:p>
    <w:p>
      <w:pPr>
        <w:pStyle w:val="ListParagraph"/>
        <w:widowControl/>
        <w:shd w:val="clear" w:color="auto" w:fill="FFFFFF"/>
        <w:spacing w:line="276" w:lineRule="auto"/>
        <w:ind w:left="562" w:firstLine="0" w:firstLineChars="0"/>
        <w:rPr>
          <w:rFonts w:ascii="黑体" w:eastAsia="黑体" w:hAnsi="黑体" w:cs="黑体"/>
          <w:b/>
          <w:kern w:val="0"/>
          <w:sz w:val="30"/>
          <w:szCs w:val="30"/>
        </w:rPr>
      </w:pPr>
      <w:r>
        <w:rPr>
          <w:rFonts w:ascii="黑体" w:eastAsia="黑体" w:hAnsi="黑体" w:cs="黑体" w:hint="eastAsia"/>
          <w:b/>
          <w:kern w:val="0"/>
          <w:sz w:val="30"/>
          <w:szCs w:val="30"/>
        </w:rPr>
        <w:t>三、目标任务</w:t>
      </w:r>
    </w:p>
    <w:p>
      <w:pPr>
        <w:widowControl/>
        <w:shd w:val="clear" w:color="auto" w:fill="FFFFFF"/>
        <w:spacing w:line="276" w:lineRule="auto"/>
        <w:ind w:firstLine="600" w:firstLineChars="200"/>
        <w:jc w:val="left"/>
        <w:rPr>
          <w:rFonts w:ascii="楷体" w:eastAsia="楷体" w:hAnsi="楷体" w:cs="楷体"/>
          <w:b/>
          <w:kern w:val="0"/>
          <w:sz w:val="30"/>
          <w:szCs w:val="30"/>
        </w:rPr>
      </w:pPr>
      <w:r>
        <w:rPr>
          <w:rFonts w:ascii="楷体" w:eastAsia="楷体" w:hAnsi="楷体" w:cs="楷体" w:hint="eastAsia"/>
          <w:b/>
          <w:kern w:val="0"/>
          <w:sz w:val="30"/>
          <w:szCs w:val="30"/>
        </w:rPr>
        <w:t>（一）总体目标</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通过五年的跨越式建设和发展，建成高水平校园网基础设施公共平台，实现高速、安全的校园网全面履盖校园、信息化终端遍布校园，立足师生员工信息化应用的实际需求，以信息技术对学校的教学、科研、管理和服务等各项工作进行现代化改造，构建资源数字化、应用集成化、传播智能化的信息环境，建设可共享的优质校本教育资源库，实现教学科研、管理服务的高度数字化、智能化，全面提升师生的信息素养和管理水平，最终建成优质、安全、绿色、人本的信息化校园，为建设</w:t>
      </w:r>
      <w:r>
        <w:rPr>
          <w:rFonts w:ascii="仿宋" w:eastAsia="仿宋" w:hAnsi="仿宋" w:cs="仿宋" w:hint="eastAsia"/>
          <w:bCs/>
          <w:sz w:val="30"/>
          <w:szCs w:val="30"/>
        </w:rPr>
        <w:t>地方性、应用型、有特色的本科院校</w:t>
      </w:r>
      <w:r>
        <w:rPr>
          <w:rFonts w:ascii="仿宋" w:eastAsia="仿宋" w:hAnsi="仿宋" w:cs="仿宋" w:hint="eastAsia"/>
          <w:kern w:val="0"/>
          <w:sz w:val="30"/>
          <w:szCs w:val="30"/>
        </w:rPr>
        <w:t>提供强大支撑。</w:t>
      </w:r>
    </w:p>
    <w:p>
      <w:pPr>
        <w:widowControl/>
        <w:shd w:val="clear" w:color="auto" w:fill="FFFFFF"/>
        <w:spacing w:line="276" w:lineRule="auto"/>
        <w:ind w:firstLine="600" w:firstLineChars="200"/>
        <w:jc w:val="left"/>
        <w:rPr>
          <w:rFonts w:ascii="楷体" w:eastAsia="楷体" w:hAnsi="楷体" w:cs="楷体"/>
          <w:b/>
          <w:kern w:val="0"/>
          <w:sz w:val="30"/>
          <w:szCs w:val="30"/>
        </w:rPr>
      </w:pPr>
      <w:r>
        <w:rPr>
          <w:rFonts w:ascii="楷体" w:eastAsia="楷体" w:hAnsi="楷体" w:cs="楷体" w:hint="eastAsia"/>
          <w:b/>
          <w:kern w:val="0"/>
          <w:sz w:val="30"/>
          <w:szCs w:val="30"/>
        </w:rPr>
        <w:t>（二）具体任务</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1.加强信息化基础设施建设，构建技术先进、扩展性强、安全可靠、高速畅通、履盖全校的校园网络环境。</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搭建智能、高效、安全的基础网络平台。升级改造学校网络中心机房，实现万兆主干，千（百）兆到桌面，校园无线网络全覆盖，更新教室多媒体设备，提高教师机用配置。提高网络运行管理的专业水平，实现核心平台智能高效、网络出口智能安全、网络接入智能灵活、网络管理智能统一。</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构建学校公共网络存贮系统。开发能够满足学校数据库存贮需要的大容量、可扩容、可动态调配的存贮系统、备份系统，确保学校数据资源有储存和安全备份。提供面向部门和用户的个性化存储及公共网盘等服务，为实现师生的移动办公和学习提供条件。</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功能强大、设计美观的门户网站、微信公众号平台。新的校园网站既集成学校各应用系统的数据入口，为师生员工提供全面的信息服务，同时也展示学校的视觉形象和教育理念，体现河北科技学院的文化底蕴和办学特色。</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学校数字化广播网、校园安防网全部升级成数字信号系统，实现互联网、校园广播网、校园安防网等多网融合。</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建设具有课堂录播、互动教学、网络直播、远程交互培训、视频会议等功能的直录播教室。</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进一步完善人工智能教室建设。</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建设学校公共服务区域数字化系统。安装校园数字化文化展示系统，如大屏幕电视、触控一体计算机等。学校主要出入口配置户外LED显示屏。</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2.加快数字化教学资源建设，构建学科齐全、标准统一、种类丰富的教学资源库和共建共享交互的资源管理平台。</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建设校本资源库和资源库管理平台。加快课程和专业资源的数字化改造，实现教案、试题、课件的数字化和网络化。融合各类教育资源平台，完善学校各学科教学资源库。</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建设数字化图书馆，引进数字图书、电子期刊，便于师生在校内外对馆藏图书进行查询、检索、预借等操作。优化电子图书阅览室，使图书馆成为学校的学习中心，培养学生适应信息时代的学习方法。</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3.实现校务管理的数字化、智能化，建设功能强大的公共信息和管理系统，提高学校教育管理的功能和效率。</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开发先进的管理信息综合系统（电子校务管理系统）。开发和完善办公自动化管理模块、教务管理模块、云录播教学系统、视频会议系统、监控安防系统、人事管理模块、教职工绩效评价模块、学籍管理和综合素质评价模块、学校财务和后勤管理模块等，利用网络共享平台实现统一认证。</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完善校园一卡通工程。包括食堂管理系统、图书管理系统、门禁管理系统、考勤管理系统、签到管理系统等。实现</w:t>
      </w:r>
      <w:r>
        <w:rPr>
          <w:rFonts w:ascii="仿宋" w:eastAsia="仿宋" w:hAnsi="仿宋" w:cs="仿宋" w:hint="eastAsia"/>
          <w:kern w:val="0"/>
          <w:sz w:val="30"/>
          <w:szCs w:val="30"/>
        </w:rPr>
        <w:t>“</w:t>
      </w:r>
      <w:r>
        <w:rPr>
          <w:rFonts w:ascii="仿宋" w:eastAsia="仿宋" w:hAnsi="仿宋" w:cs="仿宋" w:hint="eastAsia"/>
          <w:kern w:val="0"/>
          <w:sz w:val="30"/>
          <w:szCs w:val="30"/>
        </w:rPr>
        <w:t>一卡通</w:t>
      </w:r>
      <w:r>
        <w:rPr>
          <w:rFonts w:ascii="仿宋" w:eastAsia="仿宋" w:hAnsi="仿宋" w:cs="仿宋" w:hint="eastAsia"/>
          <w:kern w:val="0"/>
          <w:sz w:val="30"/>
          <w:szCs w:val="30"/>
        </w:rPr>
        <w:t>”</w:t>
      </w:r>
      <w:r>
        <w:rPr>
          <w:rFonts w:ascii="仿宋" w:eastAsia="仿宋" w:hAnsi="仿宋" w:cs="仿宋" w:hint="eastAsia"/>
          <w:kern w:val="0"/>
          <w:sz w:val="30"/>
          <w:szCs w:val="30"/>
        </w:rPr>
        <w:t>系统与电子校务系统的无缝对接。</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4.实现教育教学的数字化、个性化，推动公共课程、专业基础课程、专业课程与信息技术的深度融合，满足学生自主、便捷、高效、个性化的学习需要。</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全面推进以学生为中心的信息化教学平台的建设，为教师提供有效的网络授课环境，为学生提供有效网络学习环境。引入移动智能终端，探索基于网络的开放、交互、个性化的新型教学方式。实现教学平台与数字图书馆、教学资源库的融合，实现师生多渠道即时沟通，培养学生基于网络的终身学习能力。</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建设教科研协作、管理和分析平台，开发和引进科研资源库、学术资源库、课题项目库，为优秀教师建立专门资源库和信息发布平台。</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加强信息技术与教育深度融合实践研究。推进学校智慧课堂教学实践、信息技术支持微课堂教学实践、创客教育进课堂实践研究项目，促进信息技术与教学科研的深度融合。</w:t>
      </w:r>
    </w:p>
    <w:p>
      <w:pPr>
        <w:pStyle w:val="ListParagraph"/>
        <w:widowControl/>
        <w:shd w:val="clear" w:color="auto" w:fill="FFFFFF"/>
        <w:spacing w:line="276" w:lineRule="auto"/>
        <w:ind w:firstLine="602"/>
        <w:rPr>
          <w:rFonts w:ascii="黑体" w:eastAsia="黑体" w:hAnsi="黑体" w:cs="黑体"/>
          <w:b/>
          <w:kern w:val="0"/>
          <w:sz w:val="30"/>
          <w:szCs w:val="30"/>
        </w:rPr>
      </w:pPr>
      <w:r>
        <w:rPr>
          <w:rFonts w:ascii="黑体" w:eastAsia="黑体" w:hAnsi="黑体" w:cs="黑体" w:hint="eastAsia"/>
          <w:b/>
          <w:kern w:val="0"/>
          <w:sz w:val="30"/>
          <w:szCs w:val="30"/>
        </w:rPr>
        <w:t>四、保障措施</w:t>
      </w:r>
    </w:p>
    <w:p>
      <w:pPr>
        <w:widowControl/>
        <w:shd w:val="clear" w:color="auto" w:fill="FFFFFF"/>
        <w:spacing w:line="276" w:lineRule="auto"/>
        <w:ind w:firstLine="600" w:firstLineChars="200"/>
        <w:jc w:val="left"/>
        <w:rPr>
          <w:rFonts w:ascii="仿宋" w:eastAsia="仿宋" w:hAnsi="仿宋" w:cs="仿宋"/>
          <w:kern w:val="0"/>
          <w:sz w:val="30"/>
          <w:szCs w:val="30"/>
        </w:rPr>
      </w:pPr>
      <w:r>
        <w:rPr>
          <w:rFonts w:ascii="仿宋" w:eastAsia="仿宋" w:hAnsi="仿宋" w:cs="仿宋" w:hint="eastAsia"/>
          <w:kern w:val="0"/>
          <w:sz w:val="30"/>
          <w:szCs w:val="30"/>
        </w:rPr>
        <w:t>（一）转变观念，为教育信息化发展提供思想保障。教育信息化是实现教育现代化的有效载体，是实现素质教育、培养高素质人才的必然要求。全体教职工要充分认识加快教育信息化建设的重要性和紧迫性，进一步提高认识，转变观念，加快信息化技术与学校管理、教育教学的深度融合。</w:t>
      </w:r>
    </w:p>
    <w:p>
      <w:pPr>
        <w:widowControl/>
        <w:spacing w:line="276" w:lineRule="auto"/>
        <w:ind w:firstLine="510"/>
        <w:jc w:val="left"/>
        <w:rPr>
          <w:rFonts w:ascii="仿宋" w:eastAsia="仿宋" w:hAnsi="仿宋" w:cs="仿宋"/>
          <w:kern w:val="0"/>
          <w:sz w:val="30"/>
          <w:szCs w:val="30"/>
        </w:rPr>
      </w:pPr>
      <w:r>
        <w:rPr>
          <w:rFonts w:ascii="仿宋" w:eastAsia="仿宋" w:hAnsi="仿宋" w:cs="仿宋" w:hint="eastAsia"/>
          <w:kern w:val="0"/>
          <w:sz w:val="30"/>
          <w:szCs w:val="30"/>
        </w:rPr>
        <w:t>（二）加强领导，为教育信息化发展提供组织保障。成立河北科技学院教育信息化工作领导小组，由校长任组长，分管校长任副组长，负责制定学校教育信息化发展规划和规章制度。各部门积极支持，明确职责，密切协作，共同推动。</w:t>
      </w:r>
    </w:p>
    <w:p>
      <w:pPr>
        <w:widowControl/>
        <w:spacing w:line="276" w:lineRule="auto"/>
        <w:ind w:firstLine="510"/>
        <w:jc w:val="left"/>
        <w:rPr>
          <w:rFonts w:ascii="仿宋" w:eastAsia="仿宋" w:hAnsi="仿宋" w:cs="仿宋"/>
          <w:kern w:val="0"/>
          <w:sz w:val="30"/>
          <w:szCs w:val="30"/>
        </w:rPr>
      </w:pPr>
      <w:r>
        <w:rPr>
          <w:rFonts w:ascii="仿宋" w:eastAsia="仿宋" w:hAnsi="仿宋" w:cs="仿宋" w:hint="eastAsia"/>
          <w:kern w:val="0"/>
          <w:sz w:val="30"/>
          <w:szCs w:val="30"/>
        </w:rPr>
        <w:t>（三）加强管理，为教育信息化发展提供制度保障。完善教育信息化管理制度，建立教育信息化检查评估机制和信息技术应用工作定期总结表彰制度。把教育信息化工作纳入各部门工作考核之中，切实推进教育信息化工作深入开展。</w:t>
      </w:r>
    </w:p>
    <w:p>
      <w:pPr>
        <w:widowControl/>
        <w:spacing w:line="276" w:lineRule="auto"/>
        <w:ind w:firstLine="510"/>
        <w:jc w:val="left"/>
        <w:rPr>
          <w:rFonts w:ascii="仿宋" w:eastAsia="仿宋" w:hAnsi="仿宋" w:cs="仿宋"/>
          <w:kern w:val="0"/>
          <w:sz w:val="30"/>
          <w:szCs w:val="30"/>
        </w:rPr>
      </w:pPr>
      <w:r>
        <w:rPr>
          <w:rFonts w:ascii="仿宋" w:eastAsia="仿宋" w:hAnsi="仿宋" w:cs="仿宋" w:hint="eastAsia"/>
          <w:kern w:val="0"/>
          <w:sz w:val="30"/>
          <w:szCs w:val="30"/>
        </w:rPr>
        <w:t>（四）加强网络与信息安全，为教育信息化发展提供安全保障。严格执行国家、省、市的网络、信息安全相关法规、政策，建立信息安全组织管理体系，落实信息安全责任制，确保网络健康安全运行。</w:t>
      </w:r>
    </w:p>
    <w:p>
      <w:pPr>
        <w:widowControl/>
        <w:spacing w:line="276" w:lineRule="auto"/>
        <w:ind w:firstLine="510"/>
        <w:jc w:val="left"/>
        <w:rPr>
          <w:rFonts w:ascii="仿宋" w:eastAsia="仿宋" w:hAnsi="仿宋" w:cs="仿宋"/>
          <w:kern w:val="0"/>
          <w:sz w:val="30"/>
          <w:szCs w:val="30"/>
        </w:rPr>
      </w:pPr>
      <w:r>
        <w:rPr>
          <w:rFonts w:ascii="仿宋" w:eastAsia="仿宋" w:hAnsi="仿宋" w:cs="仿宋" w:hint="eastAsia"/>
          <w:kern w:val="0"/>
          <w:sz w:val="30"/>
          <w:szCs w:val="30"/>
        </w:rPr>
        <w:t>（五）加强队伍建设，为教育信息化发展提供人才保障。引进新技术专业人员；加大对教师、信息化工作人员、行政管理人员的培训，加快建设具有现代信息素养、熟练应用信息技术的教师队伍和管理队伍。</w:t>
      </w:r>
    </w:p>
    <w:p>
      <w:pPr>
        <w:widowControl/>
        <w:spacing w:line="276" w:lineRule="auto"/>
        <w:ind w:firstLine="510"/>
        <w:jc w:val="left"/>
        <w:rPr>
          <w:rFonts w:ascii="仿宋" w:eastAsia="仿宋" w:hAnsi="仿宋" w:cs="仿宋"/>
          <w:kern w:val="0"/>
          <w:sz w:val="30"/>
          <w:szCs w:val="30"/>
        </w:rPr>
      </w:pPr>
      <w:r>
        <w:rPr>
          <w:rFonts w:ascii="仿宋" w:eastAsia="仿宋" w:hAnsi="仿宋" w:cs="仿宋" w:hint="eastAsia"/>
          <w:kern w:val="0"/>
          <w:sz w:val="30"/>
          <w:szCs w:val="30"/>
        </w:rPr>
        <w:t>（六）加大投入，为教育信息化发展提供经费保障。将教育信息化建设、应用和维护资金及信息技术能力培训经费列入预算，促进教育信息化可持续发展。</w:t>
      </w:r>
    </w:p>
    <w:p>
      <w:pPr>
        <w:widowControl/>
        <w:spacing w:line="480" w:lineRule="exact"/>
        <w:rPr>
          <w:rFonts w:ascii="宋体" w:hAnsi="宋体" w:cs="宋体"/>
          <w:b/>
          <w:bCs/>
          <w:kern w:val="0"/>
          <w:sz w:val="36"/>
          <w:szCs w:val="36"/>
        </w:rPr>
      </w:pPr>
    </w:p>
    <w:p>
      <w:pPr>
        <w:pStyle w:val="BodyText"/>
        <w:rPr>
          <w:rFonts w:ascii="Times New Roman"/>
          <w:sz w:val="20"/>
        </w:rPr>
      </w:pPr>
    </w:p>
    <w:sectPr>
      <w:headerReference w:type="default" r:id="rId41"/>
      <w:pgSz w:w="11911" w:h="16838" w:orient="portrait"/>
      <w:pgMar w:top="1440" w:right="1800" w:bottom="1440" w:left="1800" w:header="720" w:footer="720" w:gutter="0"/>
      <w:paperSrc w:first="0" w:other="0"/>
      <w:cols w:space="708"/>
      <w:titlePg w:val="0"/>
      <w:rtlGutter w:val="0"/>
      <w:docGrid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86"/>
    <w:family w:val="auto"/>
    <w:pitch w:val="default"/>
    <w:sig w:usb0="E0002EFF" w:usb1="C000785B" w:usb2="00000009" w:usb3="00000000" w:csb0="400401FF" w:csb1="FFFF0000"/>
  </w:font>
  <w:font w:name="宋体">
    <w:panose1 w:val="02010600030101010101"/>
    <w:charset w:val="86"/>
    <w:family w:val="auto"/>
    <w:pitch w:val="default"/>
    <w:sig w:usb0="000000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2">
    <w:panose1 w:val="050201020105070707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Arial">
    <w:panose1 w:val="020B0604020202020204"/>
    <w:charset w:val="01"/>
    <w:family w:val="swiss"/>
    <w:pitch w:val="default"/>
    <w:sig w:usb0="E0002EFF" w:usb1="C000785B" w:usb2="00000009" w:usb3="00000000" w:csb0="400001FF" w:csb1="FFFF0000"/>
  </w:font>
  <w:font w:name="方正黄草简体">
    <w:altName w:val="Arial Unicode MS"/>
    <w:panose1 w:val="00000000000000000000"/>
    <w:charset w:val="86"/>
    <w:family w:val="script"/>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p>
  <w:p>
    <w:pPr>
      <w:pStyle w:val="Footer"/>
      <w:tabs>
        <w:tab w:val="center" w:pos="4153"/>
        <w:tab w:val="right" w:pos="8306"/>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pict>
        <v:shapetype id="_x0000_t202" coordsize="21600,21600" o:spt="202" path="m,l,21600r21600,l21600,xe">
          <v:stroke joinstyle="miter"/>
          <v:path gradientshapeok="t" o:connecttype="rect"/>
        </v:shapetype>
        <v:shape id="文本框 15" o:spid="_x0000_s2058" type="#_x0000_t202" style="width:2in;height:2in;margin-top:0;margin-left:0;mso-position-horizontal:center;mso-position-horizontal-relative:margin;mso-wrap-style:none;position:absolute;v-text-anchor:top;z-index:251685888"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w10:wrap anchorx="margin"/>
        </v:shape>
      </w:pict>
    </w:r>
    <w:r>
      <w:pict>
        <v:shape id="文本框 11" o:spid="_x0000_s2059" type="#_x0000_t202" style="width:2in;height:2in;margin-top:0;margin-left:0;mso-position-horizontal:center;mso-position-horizontal-relative:margin;mso-wrap-style:none;position:absolute;v-text-anchor:top;z-index:251683840"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10" o:spid="_x0000_s2060" type="#_x0000_t202" style="width:2in;height:2in;margin-top:0;margin-left:0;mso-position-horizontal:center;mso-position-horizontal-relative:margin;mso-wrap-style:none;position:absolute;v-text-anchor:top;z-index:251663360" filled="f" stroked="f">
          <v:fill o:detectmouseclick="t"/>
          <o:lock v:ext="edit" aspectratio="f"/>
          <v:textbox style="layout-flow:horizontal;mso-fit-shape-to-text:t" inset="0,0,0,0">
            <w:txbxContent>
              <w:p>
                <w:pPr>
                  <w:pStyle w:val="Footer"/>
                  <w:tabs>
                    <w:tab w:val="center" w:pos="4153"/>
                    <w:tab w:val="right" w:pos="8306"/>
                  </w:tabs>
                </w:pPr>
                <w:r>
                  <w:fldChar w:fldCharType="begin"/>
                </w:r>
                <w:r>
                  <w:instrText xml:space="preserve"> PAGE  \* MERGEFORMAT </w:instrText>
                </w:r>
                <w:r>
                  <w:fldChar w:fldCharType="separate"/>
                </w:r>
                <w:r>
                  <w:t>19</w:t>
                </w:r>
                <w:r>
                  <w:fldChar w:fldCharType="end"/>
                </w:r>
              </w:p>
            </w:txbxContent>
          </v:textbox>
          <w10:wrap anchorx="margin"/>
        </v:shape>
      </w:pict>
    </w:r>
  </w:p>
  <w:p>
    <w:pPr>
      <w:pStyle w:val="Footer"/>
      <w:tabs>
        <w:tab w:val="clear" w:pos="4153"/>
        <w:tab w:val="right" w:pos="8306"/>
      </w:tabs>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pict>
        <v:shapetype id="_x0000_t202" coordsize="21600,21600" o:spt="202" path="m,l,21600r21600,l21600,xe">
          <v:stroke joinstyle="miter"/>
          <v:path gradientshapeok="t" o:connecttype="rect"/>
        </v:shapetype>
        <v:shape id="文本框 24" o:spid="_x0000_s2061" type="#_x0000_t202" style="width:2in;height:2in;margin-top:0;margin-left:0;mso-position-horizontal:center;mso-position-horizontal-relative:margin;mso-wrap-style:none;position:absolute;v-text-anchor:top;z-index:251666432"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21" o:spid="_x0000_s2062" type="#_x0000_t202" style="width:2in;height:2in;margin-top:0;margin-left:0;mso-position-horizontal:center;mso-position-horizontal-relative:margin;mso-wrap-style:none;position:absolute;v-text-anchor:top;z-index:251664384" filled="f" stroked="f">
          <v:fill o:detectmouseclick="t"/>
          <o:lock v:ext="edit" aspectratio="f"/>
          <v:textbox style="layout-flow:horizontal;mso-fit-shape-to-text:t" inset="0,0,0,0">
            <w:txbxContent>
              <w:p>
                <w:pPr>
                  <w:pStyle w:val="Footer"/>
                  <w:tabs>
                    <w:tab w:val="center" w:pos="4153"/>
                    <w:tab w:val="right" w:pos="8306"/>
                  </w:tabs>
                </w:pPr>
                <w:r>
                  <w:fldChar w:fldCharType="begin"/>
                </w:r>
                <w:r>
                  <w:instrText xml:space="preserve"> PAGE  \* MERGEFORMAT </w:instrText>
                </w:r>
                <w:r>
                  <w:fldChar w:fldCharType="separate"/>
                </w:r>
                <w:r>
                  <w:t>29</w:t>
                </w:r>
                <w:r>
                  <w:fldChar w:fldCharType="end"/>
                </w:r>
              </w:p>
            </w:txbxContent>
          </v:textbox>
          <w10:wrap anchorx="margin"/>
        </v:shape>
      </w:pict>
    </w:r>
  </w:p>
  <w:p>
    <w:pPr>
      <w:pStyle w:val="Footer"/>
      <w:tabs>
        <w:tab w:val="clear" w:pos="4153"/>
        <w:tab w:val="right" w:pos="8306"/>
      </w:tabs>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14" o:spid="_x0000_s2063" type="#_x0000_t202" style="width:2in;height:2in;margin-top:0;margin-left:0;mso-position-horizontal:center;mso-position-horizontal-relative:margin;mso-wrap-style:none;position:absolute;v-text-anchor:top;z-index:251661312"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v:textbox>
          <w10:wrap anchorx="margin"/>
        </v:shape>
      </w:pict>
    </w:r>
  </w:p>
  <w:p>
    <w:pPr>
      <w:pStyle w:val="Footer"/>
      <w:tabs>
        <w:tab w:val="clear" w:pos="4153"/>
        <w:tab w:val="right" w:pos="8306"/>
      </w:tabs>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26" o:spid="_x0000_s2064" type="#_x0000_t202" style="width:2in;height:2in;margin-top:0;margin-left:0;mso-position-horizontal:center;mso-position-horizontal-relative:margin;mso-wrap-style:none;position:absolute;v-text-anchor:top;z-index:251668480"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w10:wrap anchorx="margin"/>
        </v:shape>
      </w:pict>
    </w:r>
  </w:p>
  <w:p>
    <w:pPr>
      <w:pStyle w:val="Footer"/>
      <w:tabs>
        <w:tab w:val="clear" w:pos="4153"/>
        <w:tab w:val="right" w:pos="8306"/>
      </w:tabs>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30" o:spid="_x0000_s2065" type="#_x0000_t202" style="width:2in;height:2in;margin-top:0;margin-left:0;mso-position-horizontal:center;mso-position-horizontal-relative:margin;mso-wrap-style:none;position:absolute;v-text-anchor:top;z-index:251670528"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w10:wrap anchorx="margin"/>
        </v:shape>
      </w:pict>
    </w:r>
  </w:p>
  <w:p>
    <w:pPr>
      <w:pStyle w:val="Footer"/>
      <w:tabs>
        <w:tab w:val="center" w:pos="4153"/>
        <w:tab w:val="right" w:pos="8306"/>
      </w:tabs>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22" o:spid="_x0000_s2066" type="#_x0000_t202" style="width:2in;height:2in;margin-top:0;margin-left:0;mso-position-horizontal:center;mso-position-horizontal-relative:margin;mso-wrap-style:none;position:absolute;v-text-anchor:top;z-index:251667456"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w10:wrap anchorx="margin"/>
        </v:shape>
      </w:pict>
    </w:r>
  </w:p>
  <w:p>
    <w:pPr>
      <w:pStyle w:val="Footer"/>
      <w:tabs>
        <w:tab w:val="center" w:pos="4153"/>
        <w:tab w:val="right" w:pos="8306"/>
      </w:tabs>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16" o:spid="_x0000_s2067" type="#_x0000_t202" style="width:2in;height:2in;margin-top:0;margin-left:0;mso-position-horizontal:center;mso-position-horizontal-relative:margin;mso-wrap-style:none;position:absolute;v-text-anchor:top;z-index:251662336"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p>
            </w:txbxContent>
          </v:textbox>
          <w10:wrap anchorx="margin"/>
        </v:shape>
      </w:pict>
    </w:r>
  </w:p>
  <w:p>
    <w:pPr>
      <w:pStyle w:val="Footer"/>
      <w:tabs>
        <w:tab w:val="clear" w:pos="4153"/>
        <w:tab w:val="right" w:pos="8306"/>
      </w:tabs>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31" o:spid="_x0000_s2068" type="#_x0000_t202" style="width:2in;height:2in;margin-top:0;margin-left:0;mso-position-horizontal:center;mso-position-horizontal-relative:margin;mso-wrap-style:none;position:absolute;v-text-anchor:top;z-index:251671552"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39</w:t>
                </w:r>
                <w:r>
                  <w:rPr>
                    <w:rFonts w:hint="eastAsia"/>
                  </w:rPr>
                  <w:fldChar w:fldCharType="end"/>
                </w:r>
              </w:p>
            </w:txbxContent>
          </v:textbox>
          <w10:wrap anchorx="margin"/>
        </v:shape>
      </w:pict>
    </w:r>
  </w:p>
  <w:p>
    <w:pPr>
      <w:pStyle w:val="Footer"/>
      <w:tabs>
        <w:tab w:val="clea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pict>
        <v:shapetype id="_x0000_t202" coordsize="21600,21600" o:spt="202" path="m,l,21600r21600,l21600,xe">
          <v:stroke joinstyle="miter"/>
          <v:path gradientshapeok="t" o:connecttype="rect"/>
        </v:shapetype>
        <v:shape id="文本框 33" o:spid="_x0000_s2069" type="#_x0000_t202" style="width:2in;height:2in;margin-top:0;margin-left:0;mso-position-horizontal:center;mso-position-horizontal-relative:margin;mso-wrap-style:none;position:absolute;v-text-anchor:top;z-index:251672576" filled="f" stroked="f" strokeweight="0.5pt">
          <v:fill o:detectmouseclick="t"/>
          <o:lock v:ext="edit" aspectratio="f"/>
          <v:textbox style="layout-flow:horizontal;mso-fit-shape-to-text:t" inset="0,0,0,0">
            <w:txbxContent>
              <w:p>
                <w:pPr>
                  <w:pStyle w:val="Footer"/>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58</w:t>
                </w:r>
                <w:r>
                  <w:fldChar w:fldCharType="end"/>
                </w:r>
              </w:p>
            </w:txbxContent>
          </v:textbox>
          <w10:wrap anchorx="margin"/>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rPr>
        <w:rStyle w:val="PageNumber"/>
      </w:rPr>
    </w:pPr>
    <w:r>
      <w:pict>
        <v:shapetype id="_x0000_t202" coordsize="21600,21600" o:spt="202" path="m,l,21600r21600,l21600,xe">
          <v:stroke joinstyle="miter"/>
          <v:path gradientshapeok="t" o:connecttype="rect"/>
        </v:shapetype>
        <v:shape id="文本框 32" o:spid="_x0000_s2070" type="#_x0000_t202" style="width:2in;height:2in;margin-top:0;margin-left:0;mso-position-horizontal:center;mso-position-horizontal-relative:margin;mso-wrap-style:none;position:absolute;v-text-anchor:top;z-index:251673600"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w10:wrap anchorx="margin"/>
        </v:shape>
      </w:pict>
    </w:r>
  </w:p>
  <w:p>
    <w:pPr>
      <w:pStyle w:val="Footer"/>
      <w:tabs>
        <w:tab w:val="center" w:pos="4153"/>
        <w:tab w:val="right" w:pos="8306"/>
      </w:tabs>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rPr>
        <w:rStyle w:val="PageNumber"/>
      </w:rPr>
    </w:pPr>
    <w:r>
      <w:pict>
        <v:shapetype id="_x0000_t202" coordsize="21600,21600" o:spt="202" path="m,l,21600r21600,l21600,xe">
          <v:stroke joinstyle="miter"/>
          <v:path gradientshapeok="t" o:connecttype="rect"/>
        </v:shapetype>
        <v:shape id="文本框 25" o:spid="_x0000_s2071" type="#_x0000_t202" style="width:2in;height:2in;margin-top:0;margin-left:0;mso-position-horizontal:center;mso-position-horizontal-relative:margin;mso-wrap-style:none;position:absolute;v-text-anchor:top;z-index:251669504"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w10:wrap anchorx="margin"/>
        </v:shape>
      </w:pict>
    </w:r>
  </w:p>
  <w:p>
    <w:pPr>
      <w:pStyle w:val="Footer"/>
      <w:tabs>
        <w:tab w:val="center" w:pos="4153"/>
        <w:tab w:val="right" w:pos="8306"/>
      </w:tabs>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18" o:spid="_x0000_s2072" type="#_x0000_t202" style="width:2in;height:2in;margin-top:0;margin-left:0;mso-position-horizontal:center;mso-position-horizontal-relative:margin;mso-wrap-style:none;position:absolute;v-text-anchor:top;z-index:251665408"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w10:wrap anchorx="margin"/>
        </v:shape>
      </w:pict>
    </w:r>
    <w:r>
      <w:pict>
        <v:shape id="文本框 12" o:spid="_x0000_s2073" type="#_x0000_t202" style="width:2in;height:2in;margin-top:0;margin-left:0;mso-position-horizontal:center;mso-position-horizontal-relative:margin;mso-wrap-style:none;position:absolute;v-text-anchor:top;z-index:251659264" filled="f" stroked="f">
          <v:fill o:detectmouseclick="t"/>
          <o:lock v:ext="edit" aspectratio="f"/>
          <v:textbox style="layout-flow:horizontal;mso-fit-shape-to-text:t" inset="0,0,0,0">
            <w:txbxContent>
              <w:p>
                <w:pPr>
                  <w:pStyle w:val="Footer"/>
                  <w:tabs>
                    <w:tab w:val="center" w:pos="4153"/>
                    <w:tab w:val="right" w:pos="8306"/>
                  </w:tabs>
                  <w:jc w:val="center"/>
                </w:pPr>
              </w:p>
              <w:p/>
            </w:txbxContent>
          </v:textbox>
          <w10:wrap anchorx="margin"/>
        </v:shape>
      </w:pict>
    </w:r>
  </w:p>
  <w:p>
    <w:pPr>
      <w:pStyle w:val="Footer"/>
      <w:tabs>
        <w:tab w:val="clear" w:pos="4153"/>
        <w:tab w:val="right" w:pos="8306"/>
      </w:tabs>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34" o:spid="_x0000_s2074" type="#_x0000_t202" style="width:2in;height:2in;margin-top:0;margin-left:0;mso-position-horizontal:center;mso-position-horizontal-relative:margin;mso-wrap-style:none;position:absolute;v-text-anchor:top;z-index:251674624"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p>
            </w:txbxContent>
          </v:textbox>
          <w10:wrap anchorx="margin"/>
        </v:shape>
      </w:pict>
    </w:r>
    <w:r>
      <w:pict>
        <v:shape id="文本框 27" o:spid="_x0000_s2075" type="#_x0000_t202" style="width:2in;height:2in;margin-top:0;margin-left:0;mso-position-horizontal:center;mso-position-horizontal-relative:margin;mso-wrap-style:none;position:absolute;v-text-anchor:top;z-index:251675648" filled="f" stroked="f">
          <v:fill o:detectmouseclick="t"/>
          <o:lock v:ext="edit" aspectratio="f"/>
          <v:textbox style="layout-flow:horizontal;mso-fit-shape-to-text:t" inset="0,0,0,0">
            <w:txbxContent>
              <w:p>
                <w:pPr>
                  <w:pStyle w:val="Footer"/>
                  <w:tabs>
                    <w:tab w:val="center" w:pos="4153"/>
                    <w:tab w:val="right" w:pos="8306"/>
                  </w:tabs>
                  <w:jc w:val="center"/>
                </w:pPr>
              </w:p>
              <w:p/>
            </w:txbxContent>
          </v:textbox>
          <w10:wrap anchorx="margin"/>
        </v:shape>
      </w:pict>
    </w:r>
  </w:p>
  <w:p>
    <w:pPr>
      <w:pStyle w:val="Footer"/>
      <w:tabs>
        <w:tab w:val="clear" w:pos="4153"/>
        <w:tab w:val="right" w:pos="8306"/>
      </w:tabs>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29" o:spid="_x0000_s2076" type="#_x0000_t202" style="width:2in;height:2in;margin-top:0;margin-left:0;mso-position-horizontal:center;mso-position-horizontal-relative:margin;mso-wrap-style:none;position:absolute;v-text-anchor:top;z-index:251680768"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57</w:t>
                </w:r>
                <w:r>
                  <w:rPr>
                    <w:rFonts w:hint="eastAsia"/>
                  </w:rPr>
                  <w:fldChar w:fldCharType="end"/>
                </w:r>
              </w:p>
            </w:txbxContent>
          </v:textbox>
          <w10:wrap anchorx="margin"/>
        </v:shape>
      </w:pict>
    </w:r>
    <w:r>
      <w:pict>
        <v:shape id="文本框 28" o:spid="_x0000_s2077" type="#_x0000_t202" style="width:2in;height:2in;margin-top:0;margin-left:0;mso-position-horizontal:center;mso-position-horizontal-relative:margin;mso-wrap-style:none;position:absolute;v-text-anchor:top;z-index:251679744" filled="f" stroked="f">
          <v:fill o:detectmouseclick="t"/>
          <o:lock v:ext="edit" aspectratio="f"/>
          <v:textbox style="layout-flow:horizontal;mso-fit-shape-to-text:t" inset="0,0,0,0">
            <w:txbxContent>
              <w:p>
                <w:pPr>
                  <w:pStyle w:val="Footer"/>
                  <w:tabs>
                    <w:tab w:val="center" w:pos="4153"/>
                    <w:tab w:val="right" w:pos="8306"/>
                  </w:tabs>
                  <w:jc w:val="center"/>
                </w:pPr>
              </w:p>
              <w:p/>
            </w:txbxContent>
          </v:textbox>
          <w10:wrap anchorx="margin"/>
        </v:shape>
      </w:pict>
    </w:r>
  </w:p>
  <w:p>
    <w:pPr>
      <w:pStyle w:val="Footer"/>
      <w:tabs>
        <w:tab w:val="clear" w:pos="4153"/>
        <w:tab w:val="right" w:pos="8306"/>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13" o:spid="_x0000_s2049" type="#_x0000_t202" style="width:2in;height:2in;margin-top:0;margin-left:0;mso-position-horizontal:center;mso-position-horizontal-relative:margin;mso-wrap-style:none;position:absolute;v-text-anchor:top;z-index:251660288"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w10:wrap anchorx="margin"/>
        </v:shape>
      </w:pict>
    </w:r>
  </w:p>
  <w:p>
    <w:pPr>
      <w:pStyle w:val="Footer"/>
      <w:tabs>
        <w:tab w:val="clear" w:pos="4153"/>
        <w:tab w:val="right" w:pos="8306"/>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pict>
        <v:shapetype id="_x0000_t202" coordsize="21600,21600" o:spt="202" path="m,l,21600r21600,l21600,xe">
          <v:stroke joinstyle="miter"/>
          <v:path gradientshapeok="t" o:connecttype="rect"/>
        </v:shapetype>
        <v:shape id="文本框 6" o:spid="_x0000_s2050" type="#_x0000_t202" style="width:2in;height:2in;margin-top:0;margin-left:0;mso-position-horizontal:center;mso-position-horizontal-relative:margin;mso-wrap-style:none;position:absolute;v-text-anchor:top;z-index:251677696"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2" o:spid="_x0000_s2051" type="#_x0000_t202" style="width:2in;height:2in;margin-top:0;margin-left:0;mso-position-horizontal:center;mso-position-horizontal-relative:margin;mso-wrap-style:none;position:absolute;v-text-anchor:top;z-index:251676672"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w10:wrap anchorx="margin"/>
        </v:shape>
      </w:pict>
    </w:r>
  </w:p>
  <w:p>
    <w:pPr>
      <w:pStyle w:val="Footer"/>
      <w:tabs>
        <w:tab w:val="clear" w:pos="4153"/>
        <w:tab w:val="right" w:pos="8306"/>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pict>
        <v:shapetype id="_x0000_t202" coordsize="21600,21600" o:spt="202" path="m,l,21600r21600,l21600,xe">
          <v:stroke joinstyle="miter"/>
          <v:path gradientshapeok="t" o:connecttype="rect"/>
        </v:shapetype>
        <v:shape id="文本框 37" o:spid="_x0000_s2052" type="#_x0000_t202" style="width:2in;height:2in;margin-top:0;margin-left:0;mso-position-horizontal:center;mso-position-horizontal-relative:margin;mso-wrap-style:none;position:absolute;v-text-anchor:top;z-index:251684864"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r>
      <w:pict>
        <v:shape id="文本框 36" o:spid="_x0000_s2053" type="#_x0000_t202" style="width:2in;height:2in;margin-top:0;margin-left:0;mso-position-horizontal:center;mso-position-horizontal-relative:margin;mso-wrap-style:none;position:absolute;v-text-anchor:top;z-index:251682816"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35" o:spid="_x0000_s2054" type="#_x0000_t202" style="width:2in;height:2in;margin-top:0;margin-left:0;mso-position-horizontal:center;mso-position-horizontal-relative:margin;mso-wrap-style:none;position:absolute;v-text-anchor:top;z-index:251681792" filled="f" stroked="f" strokeweight="0.5pt">
          <v:fill o:detectmouseclick="t"/>
          <o:lock v:ext="edit" aspectratio="f"/>
          <v:textbox style="layout-flow:horizontal;mso-fit-shape-to-text:t" inset="0,0,0,0">
            <w:txbxContent>
              <w:p>
                <w:pPr>
                  <w:pStyle w:val="Footer"/>
                  <w:tabs>
                    <w:tab w:val="center" w:pos="4153"/>
                    <w:tab w:val="right" w:pos="8306"/>
                  </w:tabs>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w10:wrap anchorx="margin"/>
        </v:shape>
      </w:pict>
    </w:r>
  </w:p>
  <w:p>
    <w:pPr>
      <w:pStyle w:val="Footer"/>
      <w:tabs>
        <w:tab w:val="clear" w:pos="4153"/>
        <w:tab w:val="right" w:pos="8306"/>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38" o:spid="_x0000_s2055" type="#_x0000_t202" style="width:2in;height:2in;margin-top:0;margin-left:0;mso-position-horizontal:center;mso-position-horizontal-relative:margin;mso-wrap-style:none;position:absolute;v-text-anchor:top;z-index:251686912"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r>
      <w:pict>
        <v:shape id="文本框 8" o:spid="_x0000_s2056" type="#_x0000_t202" style="width:2in;height:2in;margin-top:0;margin-left:0;mso-position-horizontal:center;mso-position-horizontal-relative:margin;mso-wrap-style:none;position:absolute;v-text-anchor:top;z-index:251678720" filled="f" stroked="f" strokeweight="0.5pt">
          <v:fill o:detectmouseclick="t"/>
          <o:lock v:ext="edit" aspectratio="f"/>
          <v:textbox style="layout-flow:horizontal;mso-fit-shape-to-text:t" inset="0,0,0,0">
            <w:txbxContent>
              <w:p>
                <w:pPr>
                  <w:pStyle w:val="Footer"/>
                  <w:tabs>
                    <w:tab w:val="center" w:pos="4153"/>
                    <w:tab w:val="right" w:pos="8306"/>
                  </w:tabs>
                </w:pPr>
              </w:p>
            </w:txbxContent>
          </v:textbox>
          <w10:wrap anchorx="margin"/>
        </v:shape>
      </w:pict>
    </w:r>
  </w:p>
  <w:p>
    <w:pPr>
      <w:pStyle w:val="Footer"/>
      <w:tabs>
        <w:tab w:val="clear" w:pos="4153"/>
        <w:tab w:val="right" w:pos="8306"/>
      </w:tabs>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pict>
        <v:shapetype id="_x0000_t202" coordsize="21600,21600" o:spt="202" path="m,l,21600r21600,l21600,xe">
          <v:stroke joinstyle="miter"/>
          <v:path gradientshapeok="t" o:connecttype="rect"/>
        </v:shapetype>
        <v:shape id="文本框 4" o:spid="_x0000_s2057" type="#_x0000_t202" style="width:2in;height:2in;margin-top:0;margin-left:0;mso-position-horizontal:center;mso-position-horizontal-relative:margin;mso-wrap-style:none;position:absolute;v-text-anchor:top;z-index:251658240" filled="f" stroked="f">
          <v:fill o:detectmouseclick="t"/>
          <o:lock v:ext="edit" aspectratio="f"/>
          <v:textbox style="layout-flow:horizontal;mso-fit-shape-to-text:t" inset="0,0,0,0">
            <w:txbxContent>
              <w:p>
                <w:pPr>
                  <w:pStyle w:val="Footer"/>
                  <w:tabs>
                    <w:tab w:val="center" w:pos="4153"/>
                    <w:tab w:val="right" w:pos="8306"/>
                  </w:tabs>
                </w:pPr>
                <w:r>
                  <w:fldChar w:fldCharType="begin"/>
                </w:r>
                <w:r>
                  <w:instrText xml:space="preserve"> PAGE  \* MERGEFORMAT </w:instrText>
                </w:r>
                <w:r>
                  <w:fldChar w:fldCharType="separate"/>
                </w:r>
                <w:r>
                  <w:t>27</w:t>
                </w:r>
                <w:r>
                  <w:fldChar w:fldCharType="end"/>
                </w:r>
              </w:p>
            </w:txbxContent>
          </v:textbox>
          <w10:wrap anchorx="margin"/>
        </v:shape>
      </w:pict>
    </w:r>
  </w:p>
  <w:p>
    <w:pPr>
      <w:pStyle w:val="Footer"/>
      <w:tabs>
        <w:tab w:val="clear" w:pos="4153"/>
        <w:tab w:val="right" w:pos="8306"/>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rPr>
        <w:sz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1" w:color="auto"/>
      </w:pBdr>
      <w:tabs>
        <w:tab w:val="center" w:pos="4153"/>
        <w:tab w:val="right" w:pos="8306"/>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single" w:sz="4" w:space="0" w:color="auto"/>
      </w:pBdr>
      <w:tabs>
        <w:tab w:val="center" w:pos="4153"/>
        <w:tab w:val="right" w:pos="8306"/>
      </w:tabs>
      <w:jc w:val="left"/>
      <w:rPr>
        <w:sz w:val="21"/>
        <w:szCs w:val="21"/>
      </w:rPr>
    </w:pPr>
    <w:r>
      <w:rPr>
        <w:rFonts w:hint="eastAsia"/>
        <w:sz w:val="21"/>
        <w:szCs w:val="21"/>
      </w:rPr>
      <w:t>“</w:t>
    </w:r>
    <w:r>
      <w:rPr>
        <w:rFonts w:hint="eastAsia"/>
        <w:sz w:val="21"/>
        <w:szCs w:val="21"/>
      </w:rPr>
      <w:t>十三五</w:t>
    </w:r>
    <w:r>
      <w:rPr>
        <w:rFonts w:hint="eastAsia"/>
        <w:sz w:val="21"/>
        <w:szCs w:val="21"/>
      </w:rPr>
      <w:t>”</w:t>
    </w:r>
    <w:r>
      <w:rPr>
        <w:rFonts w:hint="eastAsia"/>
        <w:sz w:val="21"/>
        <w:szCs w:val="21"/>
      </w:rPr>
      <w:t>教育事业发展规划</w:t>
    </w:r>
  </w:p>
  <w:p>
    <w:pPr>
      <w:pStyle w:val="Header"/>
      <w:pBdr>
        <w:bottom w:val="none" w:sz="0" w:space="1" w:color="auto"/>
      </w:pBdr>
      <w:tabs>
        <w:tab w:val="center" w:pos="4153"/>
        <w:tab w:val="right" w:pos="8306"/>
      </w:tabs>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single" w:sz="4" w:space="0" w:color="auto"/>
      </w:pBdr>
      <w:tabs>
        <w:tab w:val="center" w:pos="4153"/>
        <w:tab w:val="right" w:pos="8306"/>
      </w:tabs>
      <w:jc w:val="right"/>
      <w:rPr>
        <w:sz w:val="21"/>
        <w:szCs w:val="21"/>
      </w:rPr>
    </w:pPr>
    <w:r>
      <w:rPr>
        <w:rFonts w:hint="eastAsia"/>
        <w:sz w:val="21"/>
        <w:szCs w:val="21"/>
      </w:rPr>
      <w:t>“</w:t>
    </w:r>
    <w:r>
      <w:rPr>
        <w:rFonts w:hint="eastAsia"/>
        <w:sz w:val="21"/>
        <w:szCs w:val="21"/>
      </w:rPr>
      <w:t>十三五</w:t>
    </w:r>
    <w:r>
      <w:rPr>
        <w:rFonts w:hint="eastAsia"/>
        <w:sz w:val="21"/>
        <w:szCs w:val="21"/>
      </w:rPr>
      <w:t>”</w:t>
    </w:r>
    <w:r>
      <w:rPr>
        <w:rFonts w:hint="eastAsia"/>
        <w:sz w:val="21"/>
        <w:szCs w:val="21"/>
      </w:rPr>
      <w:t>教育事业发展规划</w:t>
    </w:r>
  </w:p>
  <w:p>
    <w:pPr>
      <w:pStyle w:val="Header"/>
      <w:pBdr>
        <w:bottom w:val="none" w:sz="0" w:space="1" w:color="auto"/>
      </w:pBdr>
      <w:tabs>
        <w:tab w:val="center" w:pos="4153"/>
        <w:tab w:val="right" w:pos="8306"/>
      </w:tabs>
      <w:jc w:val="righ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1" w:color="auto"/>
      </w:pBdr>
      <w:tabs>
        <w:tab w:val="center" w:pos="4153"/>
        <w:tab w:val="right" w:pos="8306"/>
      </w:tabs>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1C8D"/>
    <w:multiLevelType w:val="singleLevel"/>
    <w:tmpl w:val="00251C8D"/>
    <w:lvl w:ilvl="0">
      <w:start w:val="1"/>
      <w:numFmt w:val="decimal"/>
      <w:lvlText w:val="[%1]"/>
      <w:lvlJc w:val="left"/>
      <w:pPr>
        <w:tabs>
          <w:tab w:val="num" w:pos="312"/>
        </w:tabs>
      </w:pPr>
    </w:lvl>
  </w:abstractNum>
  <w:abstractNum w:abstractNumId="1">
    <w:nsid w:val="210E45B3"/>
    <w:multiLevelType w:val="singleLevel"/>
    <w:tmpl w:val="210E45B3"/>
    <w:lvl w:ilvl="0">
      <w:start w:val="1"/>
      <w:numFmt w:val="decimal"/>
      <w:lvlText w:val="[%1]"/>
      <w:lvlJc w:val="left"/>
      <w:pPr>
        <w:tabs>
          <w:tab w:val="num" w:pos="312"/>
        </w:tabs>
      </w:pPr>
    </w:lvl>
  </w:abstractNum>
  <w:abstractNum w:abstractNumId="2">
    <w:nsid w:val="3CFD6AA0"/>
    <w:multiLevelType w:val="multilevel"/>
    <w:tmpl w:val="3CFD6AA0"/>
    <w:lvl w:ilvl="0">
      <w:start w:val="1"/>
      <w:numFmt w:val="japaneseCounting"/>
      <w:lvlText w:val="%1、"/>
      <w:lvlJc w:val="left"/>
      <w:pPr>
        <w:ind w:left="1282" w:hanging="720"/>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nsid w:val="623CE481"/>
    <w:multiLevelType w:val="singleLevel"/>
    <w:tmpl w:val="623CE481"/>
    <w:lvl w:ilvl="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220"/>
  <w:drawingGridVerticalSpacing w:val="-7946"/>
  <w:doNotShadeFormData/>
  <w:noPunctuationKerning/>
  <w:characterSpacingControl w:val="doNotCompress"/>
  <w:noLineBreaksAfter w:lang="en-US" w:val="([{·‘“〈《「『【〔〖（．［｛￡￥"/>
  <w:noLineBreaksBefore w:lang="en-US" w:val="!),.:;?]}¨·ˇˉ―‖’”…∶、。〃々〉》」』】〕〗！＂＇），．：；？］｀｜｝～￠"/>
  <w:endnotePr>
    <w:numFmt w:val="decimal"/>
  </w:endnotePr>
  <w:compat>
    <w:ulTrailSpace/>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4809"/>
    <w:rsid w:val="00007E07"/>
    <w:rsid w:val="000131CA"/>
    <w:rsid w:val="00081CCB"/>
    <w:rsid w:val="000875CD"/>
    <w:rsid w:val="000923D6"/>
    <w:rsid w:val="000A45F4"/>
    <w:rsid w:val="000D2571"/>
    <w:rsid w:val="001254AF"/>
    <w:rsid w:val="00126C7D"/>
    <w:rsid w:val="00135804"/>
    <w:rsid w:val="00155912"/>
    <w:rsid w:val="00197CD8"/>
    <w:rsid w:val="001A7836"/>
    <w:rsid w:val="001C74AE"/>
    <w:rsid w:val="001E6ECE"/>
    <w:rsid w:val="001F4232"/>
    <w:rsid w:val="00266929"/>
    <w:rsid w:val="00285FC7"/>
    <w:rsid w:val="00293E74"/>
    <w:rsid w:val="002A32F0"/>
    <w:rsid w:val="002B4492"/>
    <w:rsid w:val="002D2AB3"/>
    <w:rsid w:val="003C1402"/>
    <w:rsid w:val="004042E7"/>
    <w:rsid w:val="00430992"/>
    <w:rsid w:val="00446ABC"/>
    <w:rsid w:val="00466B03"/>
    <w:rsid w:val="004A1681"/>
    <w:rsid w:val="004D686A"/>
    <w:rsid w:val="005A4259"/>
    <w:rsid w:val="005D33B7"/>
    <w:rsid w:val="00632966"/>
    <w:rsid w:val="00647E51"/>
    <w:rsid w:val="00683C02"/>
    <w:rsid w:val="006A1F23"/>
    <w:rsid w:val="006B7DBF"/>
    <w:rsid w:val="006E2074"/>
    <w:rsid w:val="007073C4"/>
    <w:rsid w:val="00733281"/>
    <w:rsid w:val="007763BF"/>
    <w:rsid w:val="00786C14"/>
    <w:rsid w:val="00796A9F"/>
    <w:rsid w:val="0079786D"/>
    <w:rsid w:val="007C1085"/>
    <w:rsid w:val="007E527E"/>
    <w:rsid w:val="00834137"/>
    <w:rsid w:val="0084563D"/>
    <w:rsid w:val="00854D60"/>
    <w:rsid w:val="0085654C"/>
    <w:rsid w:val="008736B3"/>
    <w:rsid w:val="008F7595"/>
    <w:rsid w:val="00934A65"/>
    <w:rsid w:val="00961E6B"/>
    <w:rsid w:val="009630AB"/>
    <w:rsid w:val="009C70F0"/>
    <w:rsid w:val="009E776F"/>
    <w:rsid w:val="009F0952"/>
    <w:rsid w:val="00A22C2D"/>
    <w:rsid w:val="00A83B8C"/>
    <w:rsid w:val="00B10E39"/>
    <w:rsid w:val="00B16CB7"/>
    <w:rsid w:val="00B67CD6"/>
    <w:rsid w:val="00BF2C4A"/>
    <w:rsid w:val="00BF43C7"/>
    <w:rsid w:val="00CA4151"/>
    <w:rsid w:val="00CB63A0"/>
    <w:rsid w:val="00CE2E10"/>
    <w:rsid w:val="00D2569E"/>
    <w:rsid w:val="00D345B1"/>
    <w:rsid w:val="00DA39A9"/>
    <w:rsid w:val="00E578D6"/>
    <w:rsid w:val="00E665D8"/>
    <w:rsid w:val="00E71613"/>
    <w:rsid w:val="00E90730"/>
    <w:rsid w:val="00ED389E"/>
    <w:rsid w:val="00EE28DC"/>
    <w:rsid w:val="00F55EF8"/>
    <w:rsid w:val="00F6631D"/>
    <w:rsid w:val="00F748DA"/>
    <w:rsid w:val="00FD07B8"/>
    <w:rsid w:val="00FD084E"/>
    <w:rsid w:val="01262108"/>
    <w:rsid w:val="0291796C"/>
    <w:rsid w:val="02F357F5"/>
    <w:rsid w:val="032A69CD"/>
    <w:rsid w:val="03662F60"/>
    <w:rsid w:val="03AC5D73"/>
    <w:rsid w:val="03DC1AE3"/>
    <w:rsid w:val="04A97A42"/>
    <w:rsid w:val="04AB4436"/>
    <w:rsid w:val="04D33602"/>
    <w:rsid w:val="04D44CFE"/>
    <w:rsid w:val="04D80E73"/>
    <w:rsid w:val="04E80E7D"/>
    <w:rsid w:val="05A16676"/>
    <w:rsid w:val="05B929CF"/>
    <w:rsid w:val="05D0030F"/>
    <w:rsid w:val="05D87C90"/>
    <w:rsid w:val="05EC3C1E"/>
    <w:rsid w:val="066F4D2D"/>
    <w:rsid w:val="067720ED"/>
    <w:rsid w:val="06F81D7B"/>
    <w:rsid w:val="072D3F5B"/>
    <w:rsid w:val="0746167D"/>
    <w:rsid w:val="077E113D"/>
    <w:rsid w:val="07EA04A3"/>
    <w:rsid w:val="08211631"/>
    <w:rsid w:val="08F267EC"/>
    <w:rsid w:val="099F2AF6"/>
    <w:rsid w:val="0BC17E64"/>
    <w:rsid w:val="0C7A4BE6"/>
    <w:rsid w:val="0C9B28BA"/>
    <w:rsid w:val="0CC04E8C"/>
    <w:rsid w:val="0CDC3ED0"/>
    <w:rsid w:val="0CEC3A13"/>
    <w:rsid w:val="0D002BFD"/>
    <w:rsid w:val="0E1769AB"/>
    <w:rsid w:val="0E414D09"/>
    <w:rsid w:val="0E7A5D22"/>
    <w:rsid w:val="0E871ECC"/>
    <w:rsid w:val="0EB51851"/>
    <w:rsid w:val="0EF55864"/>
    <w:rsid w:val="0F1A2999"/>
    <w:rsid w:val="0F6C56CC"/>
    <w:rsid w:val="0F826724"/>
    <w:rsid w:val="1087262D"/>
    <w:rsid w:val="10BA5895"/>
    <w:rsid w:val="10F27796"/>
    <w:rsid w:val="110574BD"/>
    <w:rsid w:val="11D053B2"/>
    <w:rsid w:val="12324A1C"/>
    <w:rsid w:val="12553120"/>
    <w:rsid w:val="127F7F2F"/>
    <w:rsid w:val="12C71758"/>
    <w:rsid w:val="135901FB"/>
    <w:rsid w:val="159C7385"/>
    <w:rsid w:val="16FF7A73"/>
    <w:rsid w:val="18AA1EA8"/>
    <w:rsid w:val="18B17CBF"/>
    <w:rsid w:val="18BD6858"/>
    <w:rsid w:val="18FB117B"/>
    <w:rsid w:val="19092C67"/>
    <w:rsid w:val="192A7B37"/>
    <w:rsid w:val="19C479B3"/>
    <w:rsid w:val="19CC77E8"/>
    <w:rsid w:val="1A912B01"/>
    <w:rsid w:val="1BAA0376"/>
    <w:rsid w:val="1BD76568"/>
    <w:rsid w:val="1C261BE6"/>
    <w:rsid w:val="1C2F79D9"/>
    <w:rsid w:val="1C5C458E"/>
    <w:rsid w:val="1CCB18A6"/>
    <w:rsid w:val="1DA054B0"/>
    <w:rsid w:val="1DB770C0"/>
    <w:rsid w:val="1DCD4083"/>
    <w:rsid w:val="1DEB54B6"/>
    <w:rsid w:val="1E330FFB"/>
    <w:rsid w:val="1E381815"/>
    <w:rsid w:val="1E743F08"/>
    <w:rsid w:val="1E876C04"/>
    <w:rsid w:val="1EA92E02"/>
    <w:rsid w:val="1EBA32A4"/>
    <w:rsid w:val="1F0B32AB"/>
    <w:rsid w:val="20E03A3F"/>
    <w:rsid w:val="21090522"/>
    <w:rsid w:val="211A0B21"/>
    <w:rsid w:val="21576085"/>
    <w:rsid w:val="226C5FFC"/>
    <w:rsid w:val="22B65E30"/>
    <w:rsid w:val="22BA6F59"/>
    <w:rsid w:val="234E2007"/>
    <w:rsid w:val="23C94E1F"/>
    <w:rsid w:val="24915DB1"/>
    <w:rsid w:val="250D365C"/>
    <w:rsid w:val="254B7E5A"/>
    <w:rsid w:val="26BC0D40"/>
    <w:rsid w:val="2701625E"/>
    <w:rsid w:val="2747478E"/>
    <w:rsid w:val="27C43E82"/>
    <w:rsid w:val="27EA0DEA"/>
    <w:rsid w:val="282C2E70"/>
    <w:rsid w:val="28D138D5"/>
    <w:rsid w:val="28E0440D"/>
    <w:rsid w:val="295865DF"/>
    <w:rsid w:val="29B94F10"/>
    <w:rsid w:val="2A0B0143"/>
    <w:rsid w:val="2A1B7D17"/>
    <w:rsid w:val="2A696449"/>
    <w:rsid w:val="2AAD6F91"/>
    <w:rsid w:val="2B007F98"/>
    <w:rsid w:val="2B104096"/>
    <w:rsid w:val="2B161858"/>
    <w:rsid w:val="2B54715D"/>
    <w:rsid w:val="2C564D73"/>
    <w:rsid w:val="2C77634E"/>
    <w:rsid w:val="2C8C5678"/>
    <w:rsid w:val="2C9952D9"/>
    <w:rsid w:val="2CF003F1"/>
    <w:rsid w:val="2D6964A9"/>
    <w:rsid w:val="2D8827C1"/>
    <w:rsid w:val="2DA40913"/>
    <w:rsid w:val="2DC0361A"/>
    <w:rsid w:val="2DD46EEE"/>
    <w:rsid w:val="2DE85FD8"/>
    <w:rsid w:val="2E397207"/>
    <w:rsid w:val="2EB30FFB"/>
    <w:rsid w:val="2ED80CB6"/>
    <w:rsid w:val="2EE43671"/>
    <w:rsid w:val="2EF12CB7"/>
    <w:rsid w:val="2F385CA9"/>
    <w:rsid w:val="30AF7E9F"/>
    <w:rsid w:val="30C916DB"/>
    <w:rsid w:val="312F7B83"/>
    <w:rsid w:val="31853DDD"/>
    <w:rsid w:val="318731AD"/>
    <w:rsid w:val="32157D27"/>
    <w:rsid w:val="323F0DB9"/>
    <w:rsid w:val="328768D8"/>
    <w:rsid w:val="328839CF"/>
    <w:rsid w:val="32DE3A64"/>
    <w:rsid w:val="332B45B6"/>
    <w:rsid w:val="33323BA5"/>
    <w:rsid w:val="33F51A9F"/>
    <w:rsid w:val="340050ED"/>
    <w:rsid w:val="347868DC"/>
    <w:rsid w:val="34887802"/>
    <w:rsid w:val="34A22782"/>
    <w:rsid w:val="34B57732"/>
    <w:rsid w:val="35AE2F2D"/>
    <w:rsid w:val="360D7976"/>
    <w:rsid w:val="361779F6"/>
    <w:rsid w:val="36B14593"/>
    <w:rsid w:val="36C97A55"/>
    <w:rsid w:val="37BA3ABC"/>
    <w:rsid w:val="37C36844"/>
    <w:rsid w:val="37CD0E3F"/>
    <w:rsid w:val="37F37051"/>
    <w:rsid w:val="3844627E"/>
    <w:rsid w:val="38AE049F"/>
    <w:rsid w:val="394C1FDC"/>
    <w:rsid w:val="39646A67"/>
    <w:rsid w:val="39901D06"/>
    <w:rsid w:val="39B60270"/>
    <w:rsid w:val="39E61B3A"/>
    <w:rsid w:val="3A32648F"/>
    <w:rsid w:val="3AD34BE3"/>
    <w:rsid w:val="3B520007"/>
    <w:rsid w:val="3B7F334C"/>
    <w:rsid w:val="3B9E5CB3"/>
    <w:rsid w:val="3DE3309D"/>
    <w:rsid w:val="3E9072DD"/>
    <w:rsid w:val="3F5E7FBB"/>
    <w:rsid w:val="3F911F68"/>
    <w:rsid w:val="40201008"/>
    <w:rsid w:val="40366916"/>
    <w:rsid w:val="40D670B8"/>
    <w:rsid w:val="40FB0537"/>
    <w:rsid w:val="41423E5B"/>
    <w:rsid w:val="41D74FDC"/>
    <w:rsid w:val="420A7566"/>
    <w:rsid w:val="425A4AB8"/>
    <w:rsid w:val="42803F08"/>
    <w:rsid w:val="42DD2A4B"/>
    <w:rsid w:val="438B18C0"/>
    <w:rsid w:val="43D470E0"/>
    <w:rsid w:val="44766B98"/>
    <w:rsid w:val="4485131A"/>
    <w:rsid w:val="449C07F6"/>
    <w:rsid w:val="453B4BBA"/>
    <w:rsid w:val="45A402B1"/>
    <w:rsid w:val="45B77357"/>
    <w:rsid w:val="45E97A89"/>
    <w:rsid w:val="46025249"/>
    <w:rsid w:val="4617013D"/>
    <w:rsid w:val="46226534"/>
    <w:rsid w:val="46545678"/>
    <w:rsid w:val="468E7FDC"/>
    <w:rsid w:val="47190552"/>
    <w:rsid w:val="476B6498"/>
    <w:rsid w:val="47B83299"/>
    <w:rsid w:val="47ED101A"/>
    <w:rsid w:val="47F038EB"/>
    <w:rsid w:val="49536A13"/>
    <w:rsid w:val="49694952"/>
    <w:rsid w:val="496D36E1"/>
    <w:rsid w:val="499D6C6F"/>
    <w:rsid w:val="49A9694D"/>
    <w:rsid w:val="4A584AF7"/>
    <w:rsid w:val="4B062A31"/>
    <w:rsid w:val="4B263F7B"/>
    <w:rsid w:val="4B3E3079"/>
    <w:rsid w:val="4B960BF8"/>
    <w:rsid w:val="4BBC476A"/>
    <w:rsid w:val="4BE51699"/>
    <w:rsid w:val="4C264D9F"/>
    <w:rsid w:val="4D234325"/>
    <w:rsid w:val="4E963F85"/>
    <w:rsid w:val="4E993ED6"/>
    <w:rsid w:val="4EEE0938"/>
    <w:rsid w:val="4EF8406E"/>
    <w:rsid w:val="50146E7D"/>
    <w:rsid w:val="503F61EF"/>
    <w:rsid w:val="50533597"/>
    <w:rsid w:val="508056EC"/>
    <w:rsid w:val="50E464DC"/>
    <w:rsid w:val="514F3BCB"/>
    <w:rsid w:val="518F6559"/>
    <w:rsid w:val="51AA2464"/>
    <w:rsid w:val="522D62B6"/>
    <w:rsid w:val="523D635F"/>
    <w:rsid w:val="525D4FC9"/>
    <w:rsid w:val="52C05E90"/>
    <w:rsid w:val="52DE7851"/>
    <w:rsid w:val="52F84081"/>
    <w:rsid w:val="52FC1E24"/>
    <w:rsid w:val="5308024E"/>
    <w:rsid w:val="53455C96"/>
    <w:rsid w:val="54CD5451"/>
    <w:rsid w:val="54DF45C3"/>
    <w:rsid w:val="55C20206"/>
    <w:rsid w:val="566551FB"/>
    <w:rsid w:val="566C5867"/>
    <w:rsid w:val="56E916B6"/>
    <w:rsid w:val="574E5734"/>
    <w:rsid w:val="578571FE"/>
    <w:rsid w:val="58737CAD"/>
    <w:rsid w:val="590438BE"/>
    <w:rsid w:val="59E31E03"/>
    <w:rsid w:val="5A1470B8"/>
    <w:rsid w:val="5A201B0D"/>
    <w:rsid w:val="5AA40196"/>
    <w:rsid w:val="5AAB2C48"/>
    <w:rsid w:val="5B0747D7"/>
    <w:rsid w:val="5B1D66C3"/>
    <w:rsid w:val="5B7F38B9"/>
    <w:rsid w:val="5BA27DF8"/>
    <w:rsid w:val="5C8B0F66"/>
    <w:rsid w:val="5C9573AE"/>
    <w:rsid w:val="5D0D3C4F"/>
    <w:rsid w:val="5D66177B"/>
    <w:rsid w:val="5DDC3301"/>
    <w:rsid w:val="5E103C90"/>
    <w:rsid w:val="5E4276CD"/>
    <w:rsid w:val="5E990B3F"/>
    <w:rsid w:val="5F112570"/>
    <w:rsid w:val="5F1B12E8"/>
    <w:rsid w:val="61135B9D"/>
    <w:rsid w:val="6127242D"/>
    <w:rsid w:val="6139073A"/>
    <w:rsid w:val="61B139AE"/>
    <w:rsid w:val="624F17D0"/>
    <w:rsid w:val="62931046"/>
    <w:rsid w:val="638F41DD"/>
    <w:rsid w:val="6456046E"/>
    <w:rsid w:val="64EF3C45"/>
    <w:rsid w:val="651B58DD"/>
    <w:rsid w:val="651C4619"/>
    <w:rsid w:val="654F598F"/>
    <w:rsid w:val="65800A9A"/>
    <w:rsid w:val="65BD26B2"/>
    <w:rsid w:val="6604065F"/>
    <w:rsid w:val="66472F66"/>
    <w:rsid w:val="66C6378A"/>
    <w:rsid w:val="66CC5FFC"/>
    <w:rsid w:val="67D06266"/>
    <w:rsid w:val="67DB30E6"/>
    <w:rsid w:val="67F971C8"/>
    <w:rsid w:val="695E0E9B"/>
    <w:rsid w:val="69965520"/>
    <w:rsid w:val="69BB7052"/>
    <w:rsid w:val="6A2F48FB"/>
    <w:rsid w:val="6AD804B5"/>
    <w:rsid w:val="6AF74135"/>
    <w:rsid w:val="6AFC6AD7"/>
    <w:rsid w:val="6B9D42A4"/>
    <w:rsid w:val="6BBF7844"/>
    <w:rsid w:val="6BC455D1"/>
    <w:rsid w:val="6C465C0C"/>
    <w:rsid w:val="6D11673B"/>
    <w:rsid w:val="6D7A4D30"/>
    <w:rsid w:val="6D801FB9"/>
    <w:rsid w:val="6DDB4D81"/>
    <w:rsid w:val="6E4F4200"/>
    <w:rsid w:val="6E5077AD"/>
    <w:rsid w:val="6E6179C7"/>
    <w:rsid w:val="6E9D5642"/>
    <w:rsid w:val="6EC05C29"/>
    <w:rsid w:val="6F750EAB"/>
    <w:rsid w:val="6F7B0DA4"/>
    <w:rsid w:val="70570C1A"/>
    <w:rsid w:val="70D9190C"/>
    <w:rsid w:val="710A032F"/>
    <w:rsid w:val="72B3280B"/>
    <w:rsid w:val="73664EF8"/>
    <w:rsid w:val="73B0155C"/>
    <w:rsid w:val="73B368D7"/>
    <w:rsid w:val="73C6272E"/>
    <w:rsid w:val="746B0725"/>
    <w:rsid w:val="74855F27"/>
    <w:rsid w:val="748E05A9"/>
    <w:rsid w:val="74B71FFF"/>
    <w:rsid w:val="74D15EBF"/>
    <w:rsid w:val="75555ECC"/>
    <w:rsid w:val="755A160C"/>
    <w:rsid w:val="75982385"/>
    <w:rsid w:val="75E02786"/>
    <w:rsid w:val="762A530A"/>
    <w:rsid w:val="76936F53"/>
    <w:rsid w:val="76C94193"/>
    <w:rsid w:val="76CC2D2D"/>
    <w:rsid w:val="77296FAF"/>
    <w:rsid w:val="785440D7"/>
    <w:rsid w:val="786E312A"/>
    <w:rsid w:val="78AA7650"/>
    <w:rsid w:val="79AE3011"/>
    <w:rsid w:val="7A0D3674"/>
    <w:rsid w:val="7AA50B95"/>
    <w:rsid w:val="7ABD4701"/>
    <w:rsid w:val="7AD7407B"/>
    <w:rsid w:val="7ADE7C45"/>
    <w:rsid w:val="7B7316F6"/>
    <w:rsid w:val="7B96090E"/>
    <w:rsid w:val="7BA777C5"/>
    <w:rsid w:val="7C604B6D"/>
    <w:rsid w:val="7CD74818"/>
    <w:rsid w:val="7D1435E9"/>
    <w:rsid w:val="7D2336C7"/>
    <w:rsid w:val="7D4F4D69"/>
    <w:rsid w:val="7DC02663"/>
    <w:rsid w:val="7E6E1D8E"/>
    <w:rsid w:val="7E983023"/>
    <w:rsid w:val="7F0C5DD0"/>
    <w:rsid w:val="7F9756C2"/>
    <w:rsid w:val="7FCC5B63"/>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Body Text" w:semiHidden="0" w:uiPriority="0" w:unhideWhenUsed="0"/>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lsdException w:name="Normal Table" w:semiHidden="0" w:uiPriority="0" w:unhideWhenUsed="0"/>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utoSpaceDE w:val="0"/>
      <w:autoSpaceDN w:val="0"/>
    </w:pPr>
    <w:rPr>
      <w:rFonts w:ascii="宋体" w:hAnsi="宋体" w:cs="宋体"/>
      <w:sz w:val="22"/>
      <w:szCs w:val="22"/>
      <w:lang w:val="zh-CN" w:eastAsia="zh-CN" w:bidi="zh-CN"/>
    </w:rPr>
  </w:style>
  <w:style w:type="paragraph" w:styleId="Heading2">
    <w:name w:val="heading 2"/>
    <w:basedOn w:val="Normal"/>
    <w:next w:val="Normal"/>
    <w:uiPriority w:val="1"/>
    <w:qFormat/>
    <w:pPr>
      <w:ind w:left="442"/>
      <w:outlineLvl w:val="1"/>
    </w:pPr>
    <w:rPr>
      <w:b/>
      <w:bCs/>
      <w:sz w:val="24"/>
      <w:szCs w:val="24"/>
    </w:rPr>
  </w:style>
  <w:style w:type="character" w:default="1" w:styleId="DefaultParagraphFont">
    <w:name w:val="Default Paragraph Font"/>
    <w:rPr>
      <w:rFonts w:ascii="Times New Roman" w:eastAsia="宋体" w:hAnsi="Times New Roman" w:cs="Times New Roman"/>
    </w:rPr>
  </w:style>
  <w:style w:type="table" w:default="1" w:styleId="TableNormal">
    <w:name w:val="Normal Table"/>
    <w:tblPr>
      <w:tblCellMar>
        <w:top w:w="0" w:type="dxa"/>
        <w:left w:w="108" w:type="dxa"/>
        <w:bottom w:w="0" w:type="dxa"/>
        <w:right w:w="108" w:type="dxa"/>
      </w:tblCellMar>
    </w:tblPr>
  </w:style>
  <w:style w:type="paragraph" w:styleId="CommentText">
    <w:name w:val="annotation text"/>
    <w:basedOn w:val="Normal"/>
    <w:uiPriority w:val="99"/>
    <w:unhideWhenUsed/>
    <w:pPr>
      <w:jc w:val="left"/>
    </w:pPr>
  </w:style>
  <w:style w:type="paragraph" w:styleId="BodyText">
    <w:name w:val="Body Text"/>
    <w:basedOn w:val="Normal"/>
    <w:rPr>
      <w:rFonts w:ascii="黑体" w:eastAsia="黑体" w:hAnsi="黑体" w:cs="黑体"/>
      <w:sz w:val="36"/>
      <w:szCs w:val="36"/>
      <w:lang w:val="zh-CN" w:eastAsia="zh-CN" w:bidi="zh-CN"/>
    </w:rPr>
  </w:style>
  <w:style w:type="paragraph" w:styleId="PlainText">
    <w:name w:val="Plain Text"/>
    <w:basedOn w:val="Normal"/>
    <w:qFormat/>
    <w:rPr>
      <w:rFonts w:ascii="宋体" w:eastAsia="宋体" w:hAnsi="Courier New" w:cs="Courier New"/>
      <w:bCs/>
      <w:szCs w:val="21"/>
    </w:rPr>
  </w:style>
  <w:style w:type="paragraph" w:styleId="BalloonText">
    <w:name w:val="Balloon Text"/>
    <w:basedOn w:val="Normal"/>
    <w:link w:val="Char"/>
    <w:uiPriority w:val="99"/>
    <w:unhideWhenUsed/>
    <w:rPr>
      <w:sz w:val="18"/>
      <w:szCs w:val="18"/>
    </w:rPr>
  </w:style>
  <w:style w:type="character" w:customStyle="1" w:styleId="Char">
    <w:name w:val="批注框文本 Char"/>
    <w:link w:val="BalloonText"/>
    <w:uiPriority w:val="99"/>
    <w:semiHidden/>
    <w:rPr>
      <w:rFonts w:ascii="宋体" w:eastAsia="宋体" w:hAnsi="宋体" w:cs="宋体"/>
      <w:sz w:val="18"/>
      <w:szCs w:val="18"/>
      <w:lang w:val="zh-CN" w:bidi="zh-CN"/>
    </w:rPr>
  </w:style>
  <w:style w:type="paragraph" w:styleId="Footer">
    <w:name w:val="footer"/>
    <w:basedOn w:val="Normal"/>
    <w:pPr>
      <w:tabs>
        <w:tab w:val="center" w:pos="4153"/>
        <w:tab w:val="right" w:pos="8306"/>
      </w:tabs>
      <w:snapToGrid w:val="0"/>
      <w:jc w:val="left"/>
    </w:pPr>
    <w:rPr>
      <w:rFonts w:ascii="Times New Roman" w:eastAsia="宋体" w:hAnsi="Times New Roman" w:cs="Times New Roman"/>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eastAsia="宋体" w:hAnsi="Times New Roman" w:cs="Times New Roman"/>
      <w:sz w:val="18"/>
    </w:rPr>
  </w:style>
  <w:style w:type="paragraph" w:styleId="NormalWeb">
    <w:name w:val="Normal (Web)"/>
    <w:basedOn w:val="Normal"/>
    <w:pPr>
      <w:spacing w:before="100" w:beforeAutospacing="1" w:after="100" w:afterAutospacing="1"/>
      <w:ind w:left="0" w:right="0"/>
      <w:jc w:val="left"/>
    </w:pPr>
    <w:rPr>
      <w:rFonts w:ascii="Times New Roman" w:eastAsia="宋体" w:hAnsi="Times New Roman" w:cs="Times New Roman"/>
      <w:kern w:val="0"/>
      <w:sz w:val="24"/>
      <w:lang w:val="en-US" w:eastAsia="zh-CN" w:bidi="a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basedOn w:val="DefaultParagraphFont"/>
    <w:rPr>
      <w:rFonts w:ascii="Times New Roman" w:eastAsia="宋体" w:hAnsi="Times New Roman" w:cs="Times New Roman"/>
    </w:rPr>
  </w:style>
  <w:style w:type="character" w:styleId="Hyperlink">
    <w:name w:val="Hyperlink"/>
    <w:rPr>
      <w:rFonts w:ascii="Times New Roman" w:eastAsia="宋体" w:hAnsi="Times New Roman" w:cs="Times New Roman"/>
      <w:color w:val="0000FF"/>
      <w:u w:val="single"/>
    </w:rPr>
  </w:style>
  <w:style w:type="character" w:customStyle="1" w:styleId="font21">
    <w:name w:val="font21"/>
    <w:basedOn w:val="DefaultParagraphFont"/>
    <w:qFormat/>
    <w:rPr>
      <w:rFonts w:ascii="宋体" w:eastAsia="宋体" w:hAnsi="宋体" w:cs="宋体" w:hint="eastAsia"/>
      <w:b/>
      <w:color w:val="000000"/>
      <w:sz w:val="18"/>
      <w:szCs w:val="18"/>
      <w:u w:val="none"/>
    </w:rPr>
  </w:style>
  <w:style w:type="character" w:customStyle="1" w:styleId="font11">
    <w:name w:val="font11"/>
    <w:basedOn w:val="DefaultParagraphFont"/>
    <w:rPr>
      <w:rFonts w:ascii="宋体" w:eastAsia="宋体" w:hAnsi="宋体" w:cs="宋体" w:hint="eastAsia"/>
      <w:color w:val="000000"/>
      <w:sz w:val="18"/>
      <w:szCs w:val="18"/>
      <w:u w:val="none"/>
    </w:rPr>
  </w:style>
  <w:style w:type="character" w:customStyle="1" w:styleId="font01">
    <w:name w:val="font01"/>
    <w:rPr>
      <w:rFonts w:ascii="宋体" w:eastAsia="宋体" w:hAnsi="宋体" w:cs="宋体" w:hint="eastAsia"/>
      <w:i w:val="0"/>
      <w:color w:val="000000"/>
      <w:sz w:val="22"/>
      <w:szCs w:val="22"/>
      <w:u w:val="none"/>
    </w:rPr>
  </w:style>
  <w:style w:type="paragraph" w:customStyle="1" w:styleId="TableParagraph">
    <w:name w:val="Table Paragraph"/>
    <w:basedOn w:val="Normal"/>
    <w:rPr>
      <w:rFonts w:ascii="宋体" w:eastAsia="宋体" w:hAnsi="宋体" w:cs="宋体"/>
      <w:lang w:val="zh-CN" w:eastAsia="zh-CN" w:bidi="zh-CN"/>
    </w:rPr>
  </w:style>
  <w:style w:type="paragraph" w:customStyle="1" w:styleId="p0">
    <w:name w:val="p0"/>
    <w:basedOn w:val="Normal"/>
    <w:uiPriority w:val="99"/>
    <w:qFormat/>
    <w:pPr>
      <w:widowControl/>
      <w:spacing w:before="100" w:beforeAutospacing="1" w:after="100" w:afterAutospacing="1"/>
      <w:jc w:val="left"/>
    </w:pPr>
    <w:rPr>
      <w:rFonts w:ascii="宋体" w:cs="Times New Roman"/>
      <w:kern w:val="0"/>
      <w:sz w:val="24"/>
      <w:szCs w:val="24"/>
    </w:rPr>
  </w:style>
  <w:style w:type="paragraph" w:styleId="ListParagraph">
    <w:name w:val="List Paragraph"/>
    <w:basedOn w:val="Normal"/>
    <w:qFormat/>
    <w:pPr>
      <w:spacing w:before="20"/>
      <w:ind w:left="713" w:hanging="496"/>
    </w:pPr>
    <w:rPr>
      <w:rFonts w:ascii="宋体" w:eastAsia="宋体" w:hAnsi="宋体" w:cs="宋体"/>
      <w:lang w:val="zh-CN" w:eastAsia="zh-CN" w:bidi="zh-CN"/>
    </w:rPr>
  </w:style>
  <w:style w:type="paragraph" w:customStyle="1" w:styleId="reader-word-layer">
    <w:name w:val="reader-word-layer"/>
    <w:basedOn w:val="Normal"/>
    <w:qFormat/>
    <w:pPr>
      <w:widowControl/>
      <w:spacing w:before="100" w:beforeAutospacing="1" w:after="100" w:afterAutospacing="1"/>
      <w:jc w:val="left"/>
    </w:pPr>
    <w:rPr>
      <w:rFonts w:ascii="宋体" w:hAnsi="宋体" w:cs="宋体"/>
      <w:kern w:val="0"/>
      <w:sz w:val="24"/>
    </w:rPr>
  </w:style>
  <w:style w:type="table" w:customStyle="1" w:styleId="TableNormal0">
    <w:name w:val="Table Normal"/>
    <w:rPr>
      <w:lang w:val="en-US" w:eastAsia="zh-CN" w:bidi="ar-SA"/>
    </w:rPr>
    <w:tblPr>
      <w:tblCellMar>
        <w:top w:w="0" w:type="dxa"/>
        <w:left w:w="0" w:type="dxa"/>
        <w:bottom w:w="0" w:type="dxa"/>
        <w:right w:w="0" w:type="dxa"/>
      </w:tblCellMar>
    </w:tblPr>
  </w:style>
  <w:style w:type="paragraph" w:customStyle="1" w:styleId="WPSOffice1">
    <w:name w:val="WPSOffice手动目录 1"/>
    <w:qFormat/>
    <w:rPr>
      <w:rFonts w:ascii="Times New Roman" w:eastAsia="宋体" w:hAnsi="Times New Roman" w:cs="Times New Roman"/>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lang w:val="en-US" w:eastAsia="zh-CN" w:bidi="ar-SA"/>
    </w:rPr>
  </w:style>
  <w:style w:type="paragraph" w:customStyle="1" w:styleId="WPSOffice3">
    <w:name w:val="WPSOffice手动目录 3"/>
    <w:qFormat/>
    <w:pPr>
      <w:ind w:left="400" w:leftChars="400"/>
    </w:pPr>
    <w:rPr>
      <w:rFonts w:ascii="Times New Roman" w:eastAsia="宋体" w:hAnsi="Times New Roman" w:cs="Times New Roman"/>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header" Target="header5.xml" /><Relationship Id="rId12" Type="http://schemas.openxmlformats.org/officeDocument/2006/relationships/header" Target="header6.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footer" Target="footer7.xml" /><Relationship Id="rId19" Type="http://schemas.openxmlformats.org/officeDocument/2006/relationships/header" Target="header7.xml" /><Relationship Id="rId2" Type="http://schemas.openxmlformats.org/officeDocument/2006/relationships/webSettings" Target="webSettings.xml" /><Relationship Id="rId20" Type="http://schemas.openxmlformats.org/officeDocument/2006/relationships/footer" Target="footer8.xml" /><Relationship Id="rId21" Type="http://schemas.openxmlformats.org/officeDocument/2006/relationships/footer" Target="footer9.xml" /><Relationship Id="rId22" Type="http://schemas.openxmlformats.org/officeDocument/2006/relationships/footer" Target="footer10.xml" /><Relationship Id="rId23" Type="http://schemas.openxmlformats.org/officeDocument/2006/relationships/footer" Target="footer11.xml" /><Relationship Id="rId24" Type="http://schemas.openxmlformats.org/officeDocument/2006/relationships/footer" Target="footer12.xml" /><Relationship Id="rId25" Type="http://schemas.openxmlformats.org/officeDocument/2006/relationships/footer" Target="footer13.xml" /><Relationship Id="rId26" Type="http://schemas.openxmlformats.org/officeDocument/2006/relationships/header" Target="header8.xml" /><Relationship Id="rId27" Type="http://schemas.openxmlformats.org/officeDocument/2006/relationships/footer" Target="footer14.xml" /><Relationship Id="rId28" Type="http://schemas.openxmlformats.org/officeDocument/2006/relationships/footer" Target="footer15.xml" /><Relationship Id="rId29" Type="http://schemas.openxmlformats.org/officeDocument/2006/relationships/footer" Target="footer16.xml" /><Relationship Id="rId3" Type="http://schemas.openxmlformats.org/officeDocument/2006/relationships/fontTable" Target="fontTable.xml" /><Relationship Id="rId30" Type="http://schemas.openxmlformats.org/officeDocument/2006/relationships/footer" Target="footer17.xml" /><Relationship Id="rId31" Type="http://schemas.openxmlformats.org/officeDocument/2006/relationships/header" Target="header9.xml" /><Relationship Id="rId32" Type="http://schemas.openxmlformats.org/officeDocument/2006/relationships/footer" Target="footer18.xml" /><Relationship Id="rId33" Type="http://schemas.openxmlformats.org/officeDocument/2006/relationships/footer" Target="footer19.xml" /><Relationship Id="rId34" Type="http://schemas.openxmlformats.org/officeDocument/2006/relationships/footer" Target="footer20.xml" /><Relationship Id="rId35" Type="http://schemas.openxmlformats.org/officeDocument/2006/relationships/footer" Target="footer21.xml" /><Relationship Id="rId36" Type="http://schemas.openxmlformats.org/officeDocument/2006/relationships/footer" Target="footer22.xml" /><Relationship Id="rId37" Type="http://schemas.openxmlformats.org/officeDocument/2006/relationships/header" Target="header10.xml" /><Relationship Id="rId38" Type="http://schemas.openxmlformats.org/officeDocument/2006/relationships/footer" Target="footer23.xml" /><Relationship Id="rId39" Type="http://schemas.openxmlformats.org/officeDocument/2006/relationships/footer" Target="footer24.xml" /><Relationship Id="rId4" Type="http://schemas.openxmlformats.org/officeDocument/2006/relationships/header" Target="header1.xml" /><Relationship Id="rId40" Type="http://schemas.openxmlformats.org/officeDocument/2006/relationships/footer" Target="footer25.xml" /><Relationship Id="rId41" Type="http://schemas.openxmlformats.org/officeDocument/2006/relationships/header" Target="header11.xml" /><Relationship Id="rId42" Type="http://schemas.openxmlformats.org/officeDocument/2006/relationships/theme" Target="theme/theme1.xml" /><Relationship Id="rId43" Type="http://schemas.openxmlformats.org/officeDocument/2006/relationships/numbering" Target="numbering.xml" /><Relationship Id="rId44" Type="http://schemas.openxmlformats.org/officeDocument/2006/relationships/styles" Target="styles.xml" /><Relationship Id="rId5" Type="http://schemas.openxmlformats.org/officeDocument/2006/relationships/header" Target="header2.xml" /><Relationship Id="rId6" Type="http://schemas.openxmlformats.org/officeDocument/2006/relationships/image" Target="media/image1.png" /><Relationship Id="rId7" Type="http://schemas.openxmlformats.org/officeDocument/2006/relationships/header" Target="header3.xml" /><Relationship Id="rId8" Type="http://schemas.openxmlformats.org/officeDocument/2006/relationships/header" Target="header4.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157256160</TotalTime>
  <Pages>28</Pages>
  <Words>3186</Words>
  <Characters>18165</Characters>
  <Application>Microsoft Office Word</Application>
  <DocSecurity>0</DocSecurity>
  <Lines>151</Lines>
  <Paragraphs>42</Paragraphs>
  <ScaleCrop>false</ScaleCrop>
  <Company/>
  <LinksUpToDate>false</LinksUpToDate>
  <CharactersWithSpaces>21309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魏丹</cp:lastModifiedBy>
  <cp:revision>13</cp:revision>
  <cp:lastPrinted>2019-07-12T04:49:00Z</cp:lastPrinted>
  <dcterms:created xsi:type="dcterms:W3CDTF">2020-07-07T07:12:00Z</dcterms:created>
  <dcterms:modified xsi:type="dcterms:W3CDTF">2021-07-27T01:39:55Z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2019-06-23T16:00:00Z</vt:filetime>
  </property>
  <property fmtid="{D5CDD505-2E9C-101B-9397-08002B2CF9AE}" pid="3" name="Creator">
    <vt:lpwstr>Microsoft® Office Word 2007</vt:lpwstr>
  </property>
  <property fmtid="{D5CDD505-2E9C-101B-9397-08002B2CF9AE}" pid="4" name="ICV">
    <vt:lpwstr>75D0A0998FC44BEC9C433969F25952E5</vt:lpwstr>
  </property>
  <property fmtid="{D5CDD505-2E9C-101B-9397-08002B2CF9AE}" pid="5" name="KSOProductBuildVer">
    <vt:lpwstr>2052-11.1.0.10577</vt:lpwstr>
  </property>
  <property fmtid="{D5CDD505-2E9C-101B-9397-08002B2CF9AE}" pid="6" name="LastSaved">
    <vt:filetime>2019-06-24T16:00:00Z</vt:filetime>
  </property>
</Properties>
</file>